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3CC" w:rsidRPr="008973CC" w:rsidRDefault="008973CC" w:rsidP="008973CC">
      <w:pPr>
        <w:spacing w:after="0" w:line="240" w:lineRule="auto"/>
        <w:jc w:val="right"/>
        <w:outlineLvl w:val="2"/>
        <w:rPr>
          <w:rFonts w:ascii="Times New Roman" w:hAnsi="Times New Roman"/>
          <w:b/>
          <w:sz w:val="24"/>
          <w:szCs w:val="24"/>
        </w:rPr>
      </w:pPr>
      <w:r w:rsidRPr="008973CC">
        <w:rPr>
          <w:rFonts w:ascii="Times New Roman" w:hAnsi="Times New Roman"/>
          <w:b/>
          <w:sz w:val="24"/>
          <w:szCs w:val="24"/>
        </w:rPr>
        <w:t>Приложение № 1</w:t>
      </w:r>
      <w:r w:rsidR="00054E3F">
        <w:rPr>
          <w:rFonts w:ascii="Times New Roman" w:hAnsi="Times New Roman"/>
          <w:b/>
          <w:sz w:val="24"/>
          <w:szCs w:val="24"/>
        </w:rPr>
        <w:t>5</w:t>
      </w:r>
      <w:r w:rsidRPr="008973CC">
        <w:rPr>
          <w:rFonts w:ascii="Times New Roman" w:hAnsi="Times New Roman"/>
          <w:b/>
          <w:sz w:val="24"/>
          <w:szCs w:val="24"/>
        </w:rPr>
        <w:t xml:space="preserve"> </w:t>
      </w:r>
    </w:p>
    <w:p w:rsidR="008973CC" w:rsidRPr="008973CC" w:rsidRDefault="008973CC" w:rsidP="008973CC">
      <w:pPr>
        <w:spacing w:after="0" w:line="240" w:lineRule="auto"/>
        <w:outlineLvl w:val="2"/>
        <w:rPr>
          <w:rFonts w:ascii="Times New Roman" w:hAnsi="Times New Roman"/>
          <w:b/>
          <w:sz w:val="24"/>
          <w:szCs w:val="24"/>
        </w:rPr>
      </w:pPr>
    </w:p>
    <w:p w:rsidR="008973CC" w:rsidRDefault="008973CC" w:rsidP="00A23B30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0" w:name="_Toc417909486"/>
      <w:r w:rsidRPr="008973CC">
        <w:rPr>
          <w:rFonts w:ascii="Times New Roman" w:hAnsi="Times New Roman"/>
          <w:b/>
          <w:sz w:val="24"/>
          <w:szCs w:val="24"/>
        </w:rPr>
        <w:t xml:space="preserve">Рынок </w:t>
      </w:r>
      <w:proofErr w:type="spellStart"/>
      <w:r w:rsidR="00A23B30">
        <w:rPr>
          <w:rFonts w:ascii="Times New Roman" w:hAnsi="Times New Roman"/>
          <w:b/>
          <w:sz w:val="24"/>
          <w:szCs w:val="24"/>
        </w:rPr>
        <w:t>адронной</w:t>
      </w:r>
      <w:proofErr w:type="spellEnd"/>
      <w:r w:rsidR="00A23B30">
        <w:rPr>
          <w:rFonts w:ascii="Times New Roman" w:hAnsi="Times New Roman"/>
          <w:b/>
          <w:sz w:val="24"/>
          <w:szCs w:val="24"/>
        </w:rPr>
        <w:t xml:space="preserve"> и лучевой терапии </w:t>
      </w:r>
      <w:bookmarkEnd w:id="0"/>
    </w:p>
    <w:p w:rsidR="00A23B30" w:rsidRPr="008973CC" w:rsidRDefault="00A23B30" w:rsidP="00A23B30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8973CC" w:rsidRPr="008973CC" w:rsidRDefault="00AC67AB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8973CC" w:rsidRPr="008973CC">
        <w:rPr>
          <w:rFonts w:ascii="Times New Roman" w:hAnsi="Times New Roman"/>
          <w:sz w:val="24"/>
          <w:szCs w:val="24"/>
        </w:rPr>
        <w:t xml:space="preserve">спользование протонов для лечения онкологических заболеваний началось в экспериментальных физических </w:t>
      </w:r>
      <w:proofErr w:type="gramStart"/>
      <w:r w:rsidR="008973CC" w:rsidRPr="008973CC">
        <w:rPr>
          <w:rFonts w:ascii="Times New Roman" w:hAnsi="Times New Roman"/>
          <w:sz w:val="24"/>
          <w:szCs w:val="24"/>
        </w:rPr>
        <w:t>центрах</w:t>
      </w:r>
      <w:proofErr w:type="gramEnd"/>
      <w:r w:rsidR="008973CC" w:rsidRPr="008973CC">
        <w:rPr>
          <w:rFonts w:ascii="Times New Roman" w:hAnsi="Times New Roman"/>
          <w:sz w:val="24"/>
          <w:szCs w:val="24"/>
        </w:rPr>
        <w:t xml:space="preserve"> в середине </w:t>
      </w:r>
      <w:r w:rsidR="008973CC" w:rsidRPr="008973CC">
        <w:rPr>
          <w:rFonts w:ascii="Times New Roman" w:hAnsi="Times New Roman"/>
          <w:sz w:val="24"/>
          <w:szCs w:val="24"/>
          <w:lang w:val="en-US"/>
        </w:rPr>
        <w:t>XX</w:t>
      </w:r>
      <w:r w:rsidR="008973CC" w:rsidRPr="008973CC">
        <w:rPr>
          <w:rFonts w:ascii="Times New Roman" w:hAnsi="Times New Roman"/>
          <w:sz w:val="24"/>
          <w:szCs w:val="24"/>
        </w:rPr>
        <w:t xml:space="preserve"> века. В 1990 году появился первый медицинский центр протонной терапии.</w:t>
      </w:r>
    </w:p>
    <w:p w:rsidR="008973CC" w:rsidRPr="008973CC" w:rsidRDefault="008973CC" w:rsidP="008973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5A7AA32" wp14:editId="2C391057">
            <wp:extent cx="5800725" cy="2800350"/>
            <wp:effectExtent l="0" t="0" r="0" b="0"/>
            <wp:docPr id="40" name="Диаграмма 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b/>
          <w:color w:val="002060"/>
          <w:sz w:val="24"/>
          <w:szCs w:val="24"/>
        </w:rPr>
        <w:t xml:space="preserve">Рис. </w:t>
      </w:r>
      <w:r w:rsidRPr="008973CC">
        <w:rPr>
          <w:rFonts w:ascii="Times New Roman" w:hAnsi="Times New Roman"/>
          <w:b/>
          <w:color w:val="002060"/>
          <w:sz w:val="24"/>
          <w:szCs w:val="24"/>
        </w:rPr>
        <w:fldChar w:fldCharType="begin"/>
      </w:r>
      <w:r w:rsidRPr="008973CC">
        <w:rPr>
          <w:rFonts w:ascii="Times New Roman" w:hAnsi="Times New Roman"/>
          <w:b/>
          <w:color w:val="002060"/>
          <w:sz w:val="24"/>
          <w:szCs w:val="24"/>
        </w:rPr>
        <w:instrText xml:space="preserve"> SEQ Рис. \* ARABIC </w:instrText>
      </w:r>
      <w:r w:rsidRPr="008973CC">
        <w:rPr>
          <w:rFonts w:ascii="Times New Roman" w:hAnsi="Times New Roman"/>
          <w:b/>
          <w:color w:val="002060"/>
          <w:sz w:val="24"/>
          <w:szCs w:val="24"/>
        </w:rPr>
        <w:fldChar w:fldCharType="separate"/>
      </w:r>
      <w:r w:rsidRPr="008973CC">
        <w:rPr>
          <w:rFonts w:ascii="Times New Roman" w:hAnsi="Times New Roman"/>
          <w:b/>
          <w:noProof/>
          <w:color w:val="002060"/>
          <w:sz w:val="24"/>
          <w:szCs w:val="24"/>
        </w:rPr>
        <w:t>13</w:t>
      </w:r>
      <w:r w:rsidRPr="008973CC">
        <w:rPr>
          <w:rFonts w:ascii="Times New Roman" w:hAnsi="Times New Roman"/>
          <w:b/>
          <w:color w:val="002060"/>
          <w:sz w:val="24"/>
          <w:szCs w:val="24"/>
        </w:rPr>
        <w:fldChar w:fldCharType="end"/>
      </w:r>
      <w:r w:rsidRPr="008973CC">
        <w:rPr>
          <w:rFonts w:ascii="Times New Roman" w:hAnsi="Times New Roman"/>
          <w:b/>
          <w:color w:val="002060"/>
          <w:sz w:val="24"/>
          <w:szCs w:val="24"/>
        </w:rPr>
        <w:t xml:space="preserve">. </w:t>
      </w:r>
      <w:r w:rsidRPr="008973CC">
        <w:rPr>
          <w:rFonts w:ascii="Times New Roman" w:hAnsi="Times New Roman"/>
          <w:b/>
          <w:noProof/>
          <w:color w:val="002060"/>
          <w:sz w:val="24"/>
          <w:szCs w:val="24"/>
        </w:rPr>
        <w:t>Открытие центров адронной</w:t>
      </w:r>
      <w:r w:rsidRPr="008973CC">
        <w:rPr>
          <w:rFonts w:ascii="Times New Roman" w:hAnsi="Times New Roman"/>
          <w:b/>
          <w:noProof/>
          <w:color w:val="002060"/>
          <w:sz w:val="24"/>
          <w:szCs w:val="24"/>
          <w:vertAlign w:val="superscript"/>
        </w:rPr>
        <w:footnoteReference w:id="1"/>
      </w:r>
      <w:r w:rsidRPr="008973CC">
        <w:rPr>
          <w:rFonts w:ascii="Times New Roman" w:hAnsi="Times New Roman"/>
          <w:b/>
          <w:noProof/>
          <w:color w:val="002060"/>
          <w:sz w:val="24"/>
          <w:szCs w:val="24"/>
        </w:rPr>
        <w:t xml:space="preserve"> терапии</w:t>
      </w: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t>Как видно из графика, после 1993 года открытие новых центров происходило ежегодно. Технологии совершенствовались, однако стоимость строительства оставалась весьма высокой. К 2010 году ряд производителей заявили о разработке новых компактных (</w:t>
      </w:r>
      <w:proofErr w:type="spellStart"/>
      <w:r w:rsidRPr="008973CC">
        <w:rPr>
          <w:rFonts w:ascii="Times New Roman" w:hAnsi="Times New Roman"/>
          <w:sz w:val="24"/>
          <w:szCs w:val="24"/>
        </w:rPr>
        <w:t>однокабинных</w:t>
      </w:r>
      <w:proofErr w:type="spellEnd"/>
      <w:r w:rsidRPr="008973CC">
        <w:rPr>
          <w:rFonts w:ascii="Times New Roman" w:hAnsi="Times New Roman"/>
          <w:sz w:val="24"/>
          <w:szCs w:val="24"/>
        </w:rPr>
        <w:t xml:space="preserve">) и относительно недорогих решений. Сейчас средняя стоимость открытия центра с пятью кабинами составляет $100+ </w:t>
      </w:r>
      <w:proofErr w:type="gramStart"/>
      <w:r w:rsidRPr="008973CC">
        <w:rPr>
          <w:rFonts w:ascii="Times New Roman" w:hAnsi="Times New Roman"/>
          <w:sz w:val="24"/>
          <w:szCs w:val="24"/>
        </w:rPr>
        <w:t>млн</w:t>
      </w:r>
      <w:proofErr w:type="gramEnd"/>
      <w:r w:rsidRPr="008973CC">
        <w:rPr>
          <w:rFonts w:ascii="Times New Roman" w:hAnsi="Times New Roman"/>
          <w:sz w:val="24"/>
          <w:szCs w:val="24"/>
        </w:rPr>
        <w:t>, с одной кабиной - $30-40 млн. В настоящее время отрасль переживает настоящий бум – в 2014 году открылись рекордные за всю историю 7 центров, 29 центров находится в стадии строительства (отмечены штрихом) и 16 центров – в стадии проектирования.</w:t>
      </w:r>
      <w:r w:rsidRPr="008973CC">
        <w:rPr>
          <w:rFonts w:ascii="Times New Roman" w:hAnsi="Times New Roman"/>
          <w:sz w:val="24"/>
          <w:szCs w:val="24"/>
          <w:vertAlign w:val="superscript"/>
        </w:rPr>
        <w:footnoteReference w:id="2"/>
      </w:r>
      <w:r w:rsidRPr="008973CC">
        <w:rPr>
          <w:rFonts w:ascii="Times New Roman" w:hAnsi="Times New Roman"/>
          <w:sz w:val="24"/>
          <w:szCs w:val="24"/>
        </w:rPr>
        <w:t xml:space="preserve"> В 2015 году планировалось открыть 16 центров протонной терапии и 2 центра ионной терапии.</w:t>
      </w: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t xml:space="preserve">В настоящее время в мире действует 54 центра </w:t>
      </w:r>
      <w:proofErr w:type="spellStart"/>
      <w:r w:rsidRPr="008973CC">
        <w:rPr>
          <w:rFonts w:ascii="Times New Roman" w:hAnsi="Times New Roman"/>
          <w:sz w:val="24"/>
          <w:szCs w:val="24"/>
        </w:rPr>
        <w:t>адронной</w:t>
      </w:r>
      <w:proofErr w:type="spellEnd"/>
      <w:r w:rsidRPr="008973CC">
        <w:rPr>
          <w:rFonts w:ascii="Times New Roman" w:hAnsi="Times New Roman"/>
          <w:sz w:val="24"/>
          <w:szCs w:val="24"/>
        </w:rPr>
        <w:t xml:space="preserve"> терапии, в том числе 46 центров протонной терапии и 8 центров ионной терапии. Распределение центров представлено на графике:</w:t>
      </w:r>
    </w:p>
    <w:p w:rsidR="008973CC" w:rsidRPr="008973CC" w:rsidRDefault="008973CC" w:rsidP="008973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24349AB8" wp14:editId="112058C4">
            <wp:extent cx="5305425" cy="3095625"/>
            <wp:effectExtent l="0" t="0" r="0" b="0"/>
            <wp:docPr id="41" name="Диаграмма 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b/>
          <w:color w:val="002060"/>
          <w:sz w:val="24"/>
          <w:szCs w:val="24"/>
        </w:rPr>
        <w:t xml:space="preserve">Рис. </w:t>
      </w:r>
      <w:r w:rsidRPr="008973CC">
        <w:rPr>
          <w:rFonts w:ascii="Times New Roman" w:hAnsi="Times New Roman"/>
          <w:b/>
          <w:color w:val="002060"/>
          <w:sz w:val="24"/>
          <w:szCs w:val="24"/>
        </w:rPr>
        <w:fldChar w:fldCharType="begin"/>
      </w:r>
      <w:r w:rsidRPr="008973CC">
        <w:rPr>
          <w:rFonts w:ascii="Times New Roman" w:hAnsi="Times New Roman"/>
          <w:b/>
          <w:color w:val="002060"/>
          <w:sz w:val="24"/>
          <w:szCs w:val="24"/>
        </w:rPr>
        <w:instrText xml:space="preserve"> SEQ Рис. \* ARABIC </w:instrText>
      </w:r>
      <w:r w:rsidRPr="008973CC">
        <w:rPr>
          <w:rFonts w:ascii="Times New Roman" w:hAnsi="Times New Roman"/>
          <w:b/>
          <w:color w:val="002060"/>
          <w:sz w:val="24"/>
          <w:szCs w:val="24"/>
        </w:rPr>
        <w:fldChar w:fldCharType="separate"/>
      </w:r>
      <w:r w:rsidRPr="008973CC">
        <w:rPr>
          <w:rFonts w:ascii="Times New Roman" w:hAnsi="Times New Roman"/>
          <w:b/>
          <w:noProof/>
          <w:color w:val="002060"/>
          <w:sz w:val="24"/>
          <w:szCs w:val="24"/>
        </w:rPr>
        <w:t>14</w:t>
      </w:r>
      <w:r w:rsidRPr="008973CC">
        <w:rPr>
          <w:rFonts w:ascii="Times New Roman" w:hAnsi="Times New Roman"/>
          <w:b/>
          <w:color w:val="002060"/>
          <w:sz w:val="24"/>
          <w:szCs w:val="24"/>
        </w:rPr>
        <w:fldChar w:fldCharType="end"/>
      </w:r>
      <w:r w:rsidRPr="008973CC">
        <w:rPr>
          <w:rFonts w:ascii="Times New Roman" w:hAnsi="Times New Roman"/>
          <w:b/>
          <w:color w:val="002060"/>
          <w:sz w:val="24"/>
          <w:szCs w:val="24"/>
        </w:rPr>
        <w:t xml:space="preserve">. </w:t>
      </w:r>
      <w:r w:rsidRPr="008973CC">
        <w:rPr>
          <w:rFonts w:ascii="Times New Roman" w:hAnsi="Times New Roman"/>
          <w:b/>
          <w:noProof/>
          <w:color w:val="002060"/>
          <w:sz w:val="24"/>
          <w:szCs w:val="24"/>
        </w:rPr>
        <w:t>Действующие центры протонной и ионной терапии</w:t>
      </w: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t>2 центра ионной терапии находятся в Китае, 4 – в Японии и 2 – в Европе. В стадии строительства по одному центру в Китае и Японии. Лидер рынка протонной терапии – США, там находится 16 центров протонной терапии, еще 13 строятся и 4 находятся в стадии проектирования. В Европе 5 центров строятся и еще 9 проектируются. Всего к 2018 году в мире число работающих центров должно достичь 99.</w:t>
      </w:r>
    </w:p>
    <w:p w:rsidR="008973CC" w:rsidRPr="008973CC" w:rsidRDefault="008973CC" w:rsidP="008973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0FA1B77" wp14:editId="35FC69EA">
            <wp:extent cx="5295900" cy="3105150"/>
            <wp:effectExtent l="0" t="0" r="0" b="0"/>
            <wp:docPr id="42" name="Диаграмма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b/>
          <w:noProof/>
          <w:color w:val="002060"/>
          <w:sz w:val="24"/>
          <w:szCs w:val="24"/>
        </w:rPr>
      </w:pPr>
      <w:r w:rsidRPr="008973CC">
        <w:rPr>
          <w:rFonts w:ascii="Times New Roman" w:hAnsi="Times New Roman"/>
          <w:b/>
          <w:noProof/>
          <w:color w:val="002060"/>
          <w:sz w:val="24"/>
          <w:szCs w:val="24"/>
        </w:rPr>
        <w:t xml:space="preserve">Рис. </w:t>
      </w:r>
      <w:r w:rsidRPr="008973CC">
        <w:rPr>
          <w:rFonts w:ascii="Times New Roman" w:hAnsi="Times New Roman"/>
          <w:b/>
          <w:noProof/>
          <w:color w:val="002060"/>
          <w:sz w:val="24"/>
          <w:szCs w:val="24"/>
        </w:rPr>
        <w:fldChar w:fldCharType="begin"/>
      </w:r>
      <w:r w:rsidRPr="008973CC">
        <w:rPr>
          <w:rFonts w:ascii="Times New Roman" w:hAnsi="Times New Roman"/>
          <w:b/>
          <w:noProof/>
          <w:color w:val="002060"/>
          <w:sz w:val="24"/>
          <w:szCs w:val="24"/>
        </w:rPr>
        <w:instrText xml:space="preserve"> SEQ Рис. \* ARABIC </w:instrText>
      </w:r>
      <w:r w:rsidRPr="008973CC">
        <w:rPr>
          <w:rFonts w:ascii="Times New Roman" w:hAnsi="Times New Roman"/>
          <w:b/>
          <w:noProof/>
          <w:color w:val="002060"/>
          <w:sz w:val="24"/>
          <w:szCs w:val="24"/>
        </w:rPr>
        <w:fldChar w:fldCharType="separate"/>
      </w:r>
      <w:r w:rsidRPr="008973CC">
        <w:rPr>
          <w:rFonts w:ascii="Times New Roman" w:hAnsi="Times New Roman"/>
          <w:b/>
          <w:noProof/>
          <w:color w:val="002060"/>
          <w:sz w:val="24"/>
          <w:szCs w:val="24"/>
        </w:rPr>
        <w:t>15</w:t>
      </w:r>
      <w:r w:rsidRPr="008973CC">
        <w:rPr>
          <w:rFonts w:ascii="Times New Roman" w:hAnsi="Times New Roman"/>
          <w:b/>
          <w:noProof/>
          <w:color w:val="002060"/>
          <w:sz w:val="24"/>
          <w:szCs w:val="24"/>
        </w:rPr>
        <w:fldChar w:fldCharType="end"/>
      </w:r>
      <w:r w:rsidRPr="008973CC">
        <w:rPr>
          <w:rFonts w:ascii="Times New Roman" w:hAnsi="Times New Roman"/>
          <w:b/>
          <w:noProof/>
          <w:color w:val="002060"/>
          <w:sz w:val="24"/>
          <w:szCs w:val="24"/>
        </w:rPr>
        <w:t>. Центры протонной и ионной терапии: действующие, строящиеся и проектируемые</w:t>
      </w: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t xml:space="preserve">Таким образом, интенсивнее всего высокие технологии предсказуемо осваивают и внедряют развитые страны, при этом большинство центров </w:t>
      </w:r>
      <w:proofErr w:type="gramStart"/>
      <w:r w:rsidRPr="008973CC">
        <w:rPr>
          <w:rFonts w:ascii="Times New Roman" w:hAnsi="Times New Roman"/>
          <w:sz w:val="24"/>
          <w:szCs w:val="24"/>
        </w:rPr>
        <w:t>ориентировано</w:t>
      </w:r>
      <w:proofErr w:type="gramEnd"/>
      <w:r w:rsidRPr="008973CC">
        <w:rPr>
          <w:rFonts w:ascii="Times New Roman" w:hAnsi="Times New Roman"/>
          <w:sz w:val="24"/>
          <w:szCs w:val="24"/>
        </w:rPr>
        <w:t xml:space="preserve"> прежде всего на внутренний рынок. В США протонная терапия уже признана и оплачивается многими страховыми компаниями, </w:t>
      </w:r>
      <w:proofErr w:type="gramStart"/>
      <w:r w:rsidRPr="008973CC">
        <w:rPr>
          <w:rFonts w:ascii="Times New Roman" w:hAnsi="Times New Roman"/>
          <w:sz w:val="24"/>
          <w:szCs w:val="24"/>
        </w:rPr>
        <w:t>что</w:t>
      </w:r>
      <w:proofErr w:type="gramEnd"/>
      <w:r w:rsidRPr="008973CC">
        <w:rPr>
          <w:rFonts w:ascii="Times New Roman" w:hAnsi="Times New Roman"/>
          <w:sz w:val="24"/>
          <w:szCs w:val="24"/>
        </w:rPr>
        <w:t xml:space="preserve"> несомненно является одним из главных драйверов роста отрасли. По количеству центров протонной терапии на душу населения </w:t>
      </w:r>
      <w:proofErr w:type="gramStart"/>
      <w:r w:rsidRPr="008973CC">
        <w:rPr>
          <w:rFonts w:ascii="Times New Roman" w:hAnsi="Times New Roman"/>
          <w:sz w:val="24"/>
          <w:szCs w:val="24"/>
        </w:rPr>
        <w:t>лидируют и</w:t>
      </w:r>
      <w:proofErr w:type="gramEnd"/>
      <w:r w:rsidRPr="008973CC">
        <w:rPr>
          <w:rFonts w:ascii="Times New Roman" w:hAnsi="Times New Roman"/>
          <w:sz w:val="24"/>
          <w:szCs w:val="24"/>
        </w:rPr>
        <w:t xml:space="preserve"> будут лидировать в ближайшем будущем США.</w:t>
      </w: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t xml:space="preserve">Япония является лидером по развитию ионной терапии – там находится половина действующих и строящихся ионных центров. Следующую позицию занимает Китай. В </w:t>
      </w:r>
      <w:r w:rsidRPr="008973CC">
        <w:rPr>
          <w:rFonts w:ascii="Times New Roman" w:hAnsi="Times New Roman"/>
          <w:sz w:val="24"/>
          <w:szCs w:val="24"/>
        </w:rPr>
        <w:lastRenderedPageBreak/>
        <w:t>целом, можно отметить относительно небольшую активность в развит</w:t>
      </w:r>
      <w:proofErr w:type="gramStart"/>
      <w:r w:rsidRPr="008973CC">
        <w:rPr>
          <w:rFonts w:ascii="Times New Roman" w:hAnsi="Times New Roman"/>
          <w:sz w:val="24"/>
          <w:szCs w:val="24"/>
        </w:rPr>
        <w:t>ии ио</w:t>
      </w:r>
      <w:proofErr w:type="gramEnd"/>
      <w:r w:rsidRPr="008973CC">
        <w:rPr>
          <w:rFonts w:ascii="Times New Roman" w:hAnsi="Times New Roman"/>
          <w:sz w:val="24"/>
          <w:szCs w:val="24"/>
        </w:rPr>
        <w:t>нной терапии, что связано, прежде всего, с очень высокой стоимостью ионного ускорителя.</w:t>
      </w: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t xml:space="preserve">Рост интереса к протонной терапии связан в том числе и с ростом числа пролеченных пациентов, собранной по ним положительной статистике и распространением осведомленности о существовании и качестве такой терапии </w:t>
      </w:r>
      <w:proofErr w:type="gramStart"/>
      <w:r w:rsidRPr="008973CC">
        <w:rPr>
          <w:rFonts w:ascii="Times New Roman" w:hAnsi="Times New Roman"/>
          <w:sz w:val="24"/>
          <w:szCs w:val="24"/>
        </w:rPr>
        <w:t>среди</w:t>
      </w:r>
      <w:proofErr w:type="gramEnd"/>
      <w:r w:rsidRPr="008973CC">
        <w:rPr>
          <w:rFonts w:ascii="Times New Roman" w:hAnsi="Times New Roman"/>
          <w:sz w:val="24"/>
          <w:szCs w:val="24"/>
        </w:rPr>
        <w:t xml:space="preserve"> заболевших.</w:t>
      </w:r>
    </w:p>
    <w:p w:rsidR="008973CC" w:rsidRPr="008973CC" w:rsidRDefault="008973CC" w:rsidP="008973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F780D00" wp14:editId="2B978E6B">
            <wp:extent cx="5324475" cy="2838450"/>
            <wp:effectExtent l="0" t="0" r="0" b="0"/>
            <wp:docPr id="43" name="Диаграмма 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b/>
          <w:noProof/>
          <w:color w:val="002060"/>
          <w:sz w:val="24"/>
          <w:szCs w:val="24"/>
        </w:rPr>
        <w:t xml:space="preserve">Рис. </w:t>
      </w:r>
      <w:r w:rsidRPr="008973CC">
        <w:rPr>
          <w:rFonts w:ascii="Times New Roman" w:hAnsi="Times New Roman"/>
          <w:b/>
          <w:noProof/>
          <w:color w:val="002060"/>
          <w:sz w:val="24"/>
          <w:szCs w:val="24"/>
        </w:rPr>
        <w:fldChar w:fldCharType="begin"/>
      </w:r>
      <w:r w:rsidRPr="008973CC">
        <w:rPr>
          <w:rFonts w:ascii="Times New Roman" w:hAnsi="Times New Roman"/>
          <w:b/>
          <w:noProof/>
          <w:color w:val="002060"/>
          <w:sz w:val="24"/>
          <w:szCs w:val="24"/>
        </w:rPr>
        <w:instrText xml:space="preserve"> SEQ Рис. \* ARABIC </w:instrText>
      </w:r>
      <w:r w:rsidRPr="008973CC">
        <w:rPr>
          <w:rFonts w:ascii="Times New Roman" w:hAnsi="Times New Roman"/>
          <w:b/>
          <w:noProof/>
          <w:color w:val="002060"/>
          <w:sz w:val="24"/>
          <w:szCs w:val="24"/>
        </w:rPr>
        <w:fldChar w:fldCharType="separate"/>
      </w:r>
      <w:r w:rsidRPr="008973CC">
        <w:rPr>
          <w:rFonts w:ascii="Times New Roman" w:hAnsi="Times New Roman"/>
          <w:b/>
          <w:noProof/>
          <w:color w:val="002060"/>
          <w:sz w:val="24"/>
          <w:szCs w:val="24"/>
        </w:rPr>
        <w:t>16</w:t>
      </w:r>
      <w:r w:rsidRPr="008973CC">
        <w:rPr>
          <w:rFonts w:ascii="Times New Roman" w:hAnsi="Times New Roman"/>
          <w:b/>
          <w:noProof/>
          <w:color w:val="002060"/>
          <w:sz w:val="24"/>
          <w:szCs w:val="24"/>
        </w:rPr>
        <w:fldChar w:fldCharType="end"/>
      </w:r>
      <w:r w:rsidRPr="008973CC">
        <w:rPr>
          <w:rFonts w:ascii="Times New Roman" w:hAnsi="Times New Roman"/>
          <w:b/>
          <w:noProof/>
          <w:color w:val="002060"/>
          <w:sz w:val="24"/>
          <w:szCs w:val="24"/>
        </w:rPr>
        <w:t>. Количество прошедших протонную терапию</w:t>
      </w:r>
      <w:r w:rsidRPr="008973CC">
        <w:rPr>
          <w:rFonts w:ascii="Times New Roman" w:hAnsi="Times New Roman"/>
          <w:b/>
          <w:noProof/>
          <w:color w:val="002060"/>
          <w:sz w:val="24"/>
          <w:szCs w:val="24"/>
          <w:vertAlign w:val="superscript"/>
        </w:rPr>
        <w:footnoteReference w:id="3"/>
      </w: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t>Несмотря на такое динамичное развитие, рынок протонной терапии пока еще очень мал. Как будет показано ниже, протонные центры имеют, как правило, один ускоритель протонов и от одного до пяти процедурных комнат. Несколько кабин создается для более эффективного использования дорогостоящего ускорителя. В настоящее время, по оценкам PTCOG, в мире работают 128 кабин. К 2018 году их должно стать, согласно заявленным проектам, 223.</w:t>
      </w: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t>Для сравнения, в 2013 году в мире насчитывалось</w:t>
      </w:r>
      <w:r w:rsidRPr="008973CC">
        <w:rPr>
          <w:rFonts w:ascii="Times New Roman" w:hAnsi="Times New Roman"/>
          <w:sz w:val="24"/>
          <w:szCs w:val="24"/>
          <w:vertAlign w:val="superscript"/>
        </w:rPr>
        <w:footnoteReference w:id="4"/>
      </w:r>
      <w:r w:rsidRPr="008973CC">
        <w:rPr>
          <w:rFonts w:ascii="Times New Roman" w:hAnsi="Times New Roman"/>
          <w:sz w:val="24"/>
          <w:szCs w:val="24"/>
        </w:rPr>
        <w:t xml:space="preserve"> 12 983 процедурных комнат традиционной </w:t>
      </w:r>
      <w:proofErr w:type="gramStart"/>
      <w:r w:rsidRPr="008973CC">
        <w:rPr>
          <w:rFonts w:ascii="Times New Roman" w:hAnsi="Times New Roman"/>
          <w:sz w:val="24"/>
          <w:szCs w:val="24"/>
        </w:rPr>
        <w:t>гамма-электронной</w:t>
      </w:r>
      <w:proofErr w:type="gramEnd"/>
      <w:r w:rsidRPr="008973CC">
        <w:rPr>
          <w:rFonts w:ascii="Times New Roman" w:hAnsi="Times New Roman"/>
          <w:sz w:val="24"/>
          <w:szCs w:val="24"/>
        </w:rPr>
        <w:t xml:space="preserve"> терапии. Учитывая, что, по оценкам </w:t>
      </w:r>
      <w:proofErr w:type="spellStart"/>
      <w:r w:rsidRPr="008973CC">
        <w:rPr>
          <w:rFonts w:ascii="Times New Roman" w:hAnsi="Times New Roman"/>
          <w:sz w:val="24"/>
          <w:szCs w:val="24"/>
        </w:rPr>
        <w:t>MEDraysintell</w:t>
      </w:r>
      <w:proofErr w:type="spellEnd"/>
      <w:r w:rsidRPr="008973CC">
        <w:rPr>
          <w:rFonts w:ascii="Times New Roman" w:hAnsi="Times New Roman"/>
          <w:sz w:val="24"/>
          <w:szCs w:val="24"/>
        </w:rPr>
        <w:t xml:space="preserve">, радиотерапию получают 2,9 </w:t>
      </w:r>
      <w:proofErr w:type="gramStart"/>
      <w:r w:rsidRPr="008973CC">
        <w:rPr>
          <w:rFonts w:ascii="Times New Roman" w:hAnsi="Times New Roman"/>
          <w:sz w:val="24"/>
          <w:szCs w:val="24"/>
        </w:rPr>
        <w:t>млн</w:t>
      </w:r>
      <w:proofErr w:type="gramEnd"/>
      <w:r w:rsidRPr="008973CC">
        <w:rPr>
          <w:rFonts w:ascii="Times New Roman" w:hAnsi="Times New Roman"/>
          <w:sz w:val="24"/>
          <w:szCs w:val="24"/>
        </w:rPr>
        <w:t xml:space="preserve"> человек в год, количество получающих протонную терапию ничтожно мало и составляет менее 0,5% от прошедших лучевую терапию. При этом, даже исходя из минимальной оценки нуждающихся в протонной терапии, приведенной в предыдущем разделе, количество таких пациентов должно составить 2,9 </w:t>
      </w:r>
      <w:proofErr w:type="gramStart"/>
      <w:r w:rsidRPr="008973CC">
        <w:rPr>
          <w:rFonts w:ascii="Times New Roman" w:hAnsi="Times New Roman"/>
          <w:sz w:val="24"/>
          <w:szCs w:val="24"/>
        </w:rPr>
        <w:t>млн</w:t>
      </w:r>
      <w:proofErr w:type="gramEnd"/>
      <w:r w:rsidRPr="008973CC">
        <w:rPr>
          <w:rFonts w:ascii="Times New Roman" w:hAnsi="Times New Roman"/>
          <w:sz w:val="24"/>
          <w:szCs w:val="24"/>
        </w:rPr>
        <w:t xml:space="preserve"> × 13% = 377 тыс. человек в год. Сейчас протонную терапию получают всего 3,6% от этого количества.</w:t>
      </w: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t xml:space="preserve">Количество пациентов, проходящих протонную терапию в одной кабине в год, в среднем составляет 106. Конечно, старые центры пропускают гораздо меньше пациентов, чем современные. Однако и в современных центрах количество пролеченных пациентов на 1 кабину пока составляет в среднем не более 250-300 в год, что объясняется сложностью работы </w:t>
      </w:r>
      <w:proofErr w:type="spellStart"/>
      <w:r w:rsidRPr="008973CC">
        <w:rPr>
          <w:rFonts w:ascii="Times New Roman" w:hAnsi="Times New Roman"/>
          <w:sz w:val="24"/>
          <w:szCs w:val="24"/>
        </w:rPr>
        <w:t>гантри</w:t>
      </w:r>
      <w:proofErr w:type="spellEnd"/>
      <w:r w:rsidRPr="008973CC">
        <w:rPr>
          <w:rFonts w:ascii="Times New Roman" w:hAnsi="Times New Roman"/>
          <w:sz w:val="24"/>
          <w:szCs w:val="24"/>
        </w:rPr>
        <w:t xml:space="preserve">. Производители оборудования считают, что максимальная загрузка одной процедурной может составлять 375-500 пациентов в год. Этот показатель может быть повышен при применении </w:t>
      </w:r>
      <w:proofErr w:type="spellStart"/>
      <w:r w:rsidRPr="008973CC">
        <w:rPr>
          <w:rFonts w:ascii="Times New Roman" w:hAnsi="Times New Roman"/>
          <w:sz w:val="24"/>
          <w:szCs w:val="24"/>
        </w:rPr>
        <w:t>гипофракционирования</w:t>
      </w:r>
      <w:proofErr w:type="spellEnd"/>
      <w:r w:rsidRPr="008973CC">
        <w:rPr>
          <w:rFonts w:ascii="Times New Roman" w:hAnsi="Times New Roman"/>
          <w:sz w:val="24"/>
          <w:szCs w:val="24"/>
        </w:rPr>
        <w:t xml:space="preserve">, т.е. меньшего количества фракций при более высоких дозах за фракцию, что возможно для малых опухолей и более точного воздействия исключительно на злокачественные клетки.  </w:t>
      </w:r>
    </w:p>
    <w:p w:rsidR="008973CC" w:rsidRPr="008973CC" w:rsidRDefault="008973CC" w:rsidP="008973CC">
      <w:pPr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bookmarkStart w:id="1" w:name="_Toc417909487"/>
    </w:p>
    <w:p w:rsidR="00AC67AB" w:rsidRDefault="00AC67AB" w:rsidP="008973CC">
      <w:pPr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</w:p>
    <w:p w:rsidR="008973CC" w:rsidRPr="008973CC" w:rsidRDefault="008973CC" w:rsidP="008973CC">
      <w:pPr>
        <w:spacing w:after="0" w:line="240" w:lineRule="auto"/>
        <w:jc w:val="both"/>
        <w:outlineLvl w:val="2"/>
        <w:rPr>
          <w:rFonts w:ascii="Times New Roman" w:hAnsi="Times New Roman"/>
          <w:b/>
          <w:sz w:val="24"/>
          <w:szCs w:val="24"/>
        </w:rPr>
      </w:pPr>
      <w:r w:rsidRPr="008973CC">
        <w:rPr>
          <w:rFonts w:ascii="Times New Roman" w:hAnsi="Times New Roman"/>
          <w:b/>
          <w:sz w:val="24"/>
          <w:szCs w:val="24"/>
        </w:rPr>
        <w:lastRenderedPageBreak/>
        <w:t>Лучевая терапия в России</w:t>
      </w:r>
      <w:bookmarkEnd w:id="1"/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t>В структуре государственного сектора онкологической отрасли России в настоящее время можно выделить три подгруппы:</w:t>
      </w:r>
    </w:p>
    <w:p w:rsidR="008973CC" w:rsidRPr="008973CC" w:rsidRDefault="008973CC" w:rsidP="008973CC">
      <w:pPr>
        <w:pStyle w:val="a3"/>
        <w:numPr>
          <w:ilvl w:val="0"/>
          <w:numId w:val="6"/>
        </w:numPr>
        <w:spacing w:after="0" w:line="240" w:lineRule="auto"/>
        <w:ind w:left="0" w:hanging="35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73CC">
        <w:rPr>
          <w:rFonts w:ascii="Times New Roman" w:hAnsi="Times New Roman"/>
          <w:sz w:val="24"/>
          <w:szCs w:val="24"/>
          <w:lang w:eastAsia="ru-RU"/>
        </w:rPr>
        <w:t>Ведущие по проблеме НИИ страны – основная по авторитету группа с качеством лечения выше среднего. Удовлетворены своей деятельностью за счет больших потоков больных, направляемых к ним со всей страны. Обладают уникальными технологиями, которые не внедряются широко, за счет чего держится их монопольное привилегированное положение.</w:t>
      </w:r>
    </w:p>
    <w:p w:rsidR="008973CC" w:rsidRPr="008973CC" w:rsidRDefault="008973CC" w:rsidP="008973CC">
      <w:pPr>
        <w:pStyle w:val="a3"/>
        <w:numPr>
          <w:ilvl w:val="0"/>
          <w:numId w:val="6"/>
        </w:numPr>
        <w:spacing w:after="0" w:line="240" w:lineRule="auto"/>
        <w:ind w:left="0" w:hanging="35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8973CC">
        <w:rPr>
          <w:rFonts w:ascii="Times New Roman" w:hAnsi="Times New Roman"/>
          <w:sz w:val="24"/>
          <w:szCs w:val="24"/>
          <w:lang w:eastAsia="ru-RU"/>
        </w:rPr>
        <w:t>Крупные</w:t>
      </w:r>
      <w:proofErr w:type="gramEnd"/>
      <w:r w:rsidRPr="008973CC">
        <w:rPr>
          <w:rFonts w:ascii="Times New Roman" w:hAnsi="Times New Roman"/>
          <w:sz w:val="24"/>
          <w:szCs w:val="24"/>
          <w:lang w:eastAsia="ru-RU"/>
        </w:rPr>
        <w:t xml:space="preserve"> региональные </w:t>
      </w:r>
      <w:proofErr w:type="spellStart"/>
      <w:r w:rsidRPr="008973CC">
        <w:rPr>
          <w:rFonts w:ascii="Times New Roman" w:hAnsi="Times New Roman"/>
          <w:sz w:val="24"/>
          <w:szCs w:val="24"/>
          <w:lang w:eastAsia="ru-RU"/>
        </w:rPr>
        <w:t>онкоцентры</w:t>
      </w:r>
      <w:proofErr w:type="spellEnd"/>
      <w:r w:rsidRPr="008973CC">
        <w:rPr>
          <w:rFonts w:ascii="Times New Roman" w:hAnsi="Times New Roman"/>
          <w:sz w:val="24"/>
          <w:szCs w:val="24"/>
          <w:lang w:eastAsia="ru-RU"/>
        </w:rPr>
        <w:t xml:space="preserve"> в больших городах – обладают более-менее современной базой и финансово поддерживаются местными властями. Через них проходят самые большие потоки пациентов. Они оказывают услуги диагностики и лечения на среднем уровне для всего спектра заболеваний, но зачастую курируются НИИ из первой группы. </w:t>
      </w:r>
    </w:p>
    <w:p w:rsidR="008973CC" w:rsidRPr="008973CC" w:rsidRDefault="008973CC" w:rsidP="008973CC">
      <w:pPr>
        <w:pStyle w:val="a3"/>
        <w:numPr>
          <w:ilvl w:val="0"/>
          <w:numId w:val="6"/>
        </w:numPr>
        <w:spacing w:after="0" w:line="240" w:lineRule="auto"/>
        <w:ind w:left="0" w:hanging="35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73CC">
        <w:rPr>
          <w:rFonts w:ascii="Times New Roman" w:hAnsi="Times New Roman"/>
          <w:sz w:val="24"/>
          <w:szCs w:val="24"/>
          <w:lang w:eastAsia="ru-RU"/>
        </w:rPr>
        <w:t>Малые диспансеры в отдаленных регионах – находятся в более бедственном положении по сравнению со второй группой. В простых случаях заболевания оказывают не всегда лучшую помощь (чем ухудшают общую статистику) и направляют пациентов со сложными заболеваниями в центральные клиники НИИ, чем тоже ухудшают процесс лечения, затягивая его.</w:t>
      </w: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tab/>
        <w:t>Из-за продолжающихся реформ в стране ведомственная принадлежность у первых трех групп разная, хотя они пока действуют как единый механизм. Первая группа большей частью относится к Минздраву, но только недавно стала переходить туда из Академии медицинских наук. Остальные в основном относятся к Федеральному медико-биологическому агентству (ФМБА), за исключением немногих филиалов первой группы, и схожи по своей деятельности со специализированными больницами.</w:t>
      </w: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t xml:space="preserve">Всего в стране существует 143 </w:t>
      </w:r>
      <w:proofErr w:type="spellStart"/>
      <w:r w:rsidRPr="008973CC">
        <w:rPr>
          <w:rFonts w:ascii="Times New Roman" w:hAnsi="Times New Roman"/>
          <w:sz w:val="24"/>
          <w:szCs w:val="24"/>
        </w:rPr>
        <w:t>онкоцентров</w:t>
      </w:r>
      <w:proofErr w:type="spellEnd"/>
      <w:r w:rsidRPr="008973CC">
        <w:rPr>
          <w:rFonts w:ascii="Times New Roman" w:hAnsi="Times New Roman"/>
          <w:sz w:val="24"/>
          <w:szCs w:val="24"/>
        </w:rPr>
        <w:t xml:space="preserve"> и диспансеров, в 9 из них кроме диагностики и терапии занимаются разработкой и внедрением новых методов онкологии (НИИ). Как правило, в каждом субъекте РФ функционирует крупный областной (межрайонный, районный) онкологический центр, имеющий свои филиалы и рентгенодиагностические кабинеты в больницах и клиниках по всему субъекту.</w:t>
      </w: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t>В отрасли имеется 2 головных института. Это – Федеральное государственное бюджетное научное учреждение "Российский онкологический научный центр им. Н. Н. Блохина" Российской академии медицинских наук и Московский научно-исследовательский онкологический институт имени П.А. Герцена Минздрава России. Оба находятся в Москве.</w:t>
      </w: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8973CC">
        <w:rPr>
          <w:rFonts w:ascii="Times New Roman" w:hAnsi="Times New Roman"/>
          <w:sz w:val="24"/>
          <w:szCs w:val="24"/>
        </w:rPr>
        <w:t xml:space="preserve">Медицинский радиологический научный центр им. А.Ф. </w:t>
      </w:r>
      <w:proofErr w:type="spellStart"/>
      <w:r w:rsidRPr="008973CC">
        <w:rPr>
          <w:rFonts w:ascii="Times New Roman" w:hAnsi="Times New Roman"/>
          <w:sz w:val="24"/>
          <w:szCs w:val="24"/>
        </w:rPr>
        <w:t>Цыба</w:t>
      </w:r>
      <w:proofErr w:type="spellEnd"/>
      <w:r w:rsidRPr="008973CC">
        <w:rPr>
          <w:rFonts w:ascii="Times New Roman" w:hAnsi="Times New Roman"/>
          <w:sz w:val="24"/>
          <w:szCs w:val="24"/>
        </w:rPr>
        <w:t xml:space="preserve"> (МРНЦ </w:t>
      </w:r>
      <w:proofErr w:type="spellStart"/>
      <w:r w:rsidRPr="008973CC">
        <w:rPr>
          <w:rFonts w:ascii="Times New Roman" w:hAnsi="Times New Roman"/>
          <w:sz w:val="24"/>
          <w:szCs w:val="24"/>
        </w:rPr>
        <w:t>им.А</w:t>
      </w:r>
      <w:proofErr w:type="spellEnd"/>
      <w:r w:rsidRPr="008973CC">
        <w:rPr>
          <w:rFonts w:ascii="Times New Roman" w:hAnsi="Times New Roman"/>
          <w:sz w:val="24"/>
          <w:szCs w:val="24"/>
        </w:rPr>
        <w:t xml:space="preserve">. Ф. </w:t>
      </w:r>
      <w:proofErr w:type="spellStart"/>
      <w:r w:rsidRPr="008973CC">
        <w:rPr>
          <w:rFonts w:ascii="Times New Roman" w:hAnsi="Times New Roman"/>
          <w:sz w:val="24"/>
          <w:szCs w:val="24"/>
        </w:rPr>
        <w:t>Цыба</w:t>
      </w:r>
      <w:proofErr w:type="spellEnd"/>
      <w:r w:rsidRPr="008973CC">
        <w:rPr>
          <w:rFonts w:ascii="Times New Roman" w:hAnsi="Times New Roman"/>
          <w:sz w:val="24"/>
          <w:szCs w:val="24"/>
        </w:rPr>
        <w:t>) – филиал ФГБУ «НМИРЦ» Минздрава России (в 2014 г. МРНЦ вошел в состав объединенного центра), г. Обнинск, является ведущей организацией в стране по проблеме «Медицинская радиология и радиационная медицина», специализирующимся в разработке и применении высокотехнологичных радиологических методов диагностики и терапии больных.</w:t>
      </w:r>
      <w:proofErr w:type="gramEnd"/>
      <w:r w:rsidRPr="008973CC">
        <w:rPr>
          <w:rFonts w:ascii="Times New Roman" w:hAnsi="Times New Roman"/>
          <w:sz w:val="24"/>
          <w:szCs w:val="24"/>
        </w:rPr>
        <w:t xml:space="preserve"> Результаты фундаментальных исследований, проведенных здесь, становятся основой новых медицинских методов; они апробируются в клинике, а затем распространяются в другие профильные лечебно-профилактические учреждения (ЛПУ). 50 лет назад в институте была создана инфраструктура для экспериментальных и клинических исследований. </w:t>
      </w: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t xml:space="preserve">Из центральных НИИ ведущие позиции в радиологии занимают также Федеральное государственное бюджетное учреждение "Российский научный центр </w:t>
      </w:r>
      <w:proofErr w:type="spellStart"/>
      <w:r w:rsidRPr="008973CC">
        <w:rPr>
          <w:rFonts w:ascii="Times New Roman" w:hAnsi="Times New Roman"/>
          <w:sz w:val="24"/>
          <w:szCs w:val="24"/>
        </w:rPr>
        <w:t>рентгенорадиологии</w:t>
      </w:r>
      <w:proofErr w:type="spellEnd"/>
      <w:r w:rsidRPr="008973CC">
        <w:rPr>
          <w:rFonts w:ascii="Times New Roman" w:hAnsi="Times New Roman"/>
          <w:sz w:val="24"/>
          <w:szCs w:val="24"/>
        </w:rPr>
        <w:t>” Минздрава РФ (РНЦРР) и ФГУ «Российский научный центр радиологии и хирургических технологий» Минздрава РФ (РНЦРХТ). Эти центры имеют хорошее оснащение и неплохую репутацию среди пациентов.</w:t>
      </w: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lastRenderedPageBreak/>
        <w:t>Медицинская радиология</w:t>
      </w:r>
      <w:r w:rsidRPr="008973CC">
        <w:rPr>
          <w:rFonts w:ascii="Times New Roman" w:hAnsi="Times New Roman"/>
          <w:sz w:val="24"/>
          <w:szCs w:val="24"/>
          <w:vertAlign w:val="superscript"/>
        </w:rPr>
        <w:footnoteReference w:id="5"/>
      </w:r>
      <w:r w:rsidRPr="008973CC">
        <w:rPr>
          <w:rFonts w:ascii="Times New Roman" w:hAnsi="Times New Roman"/>
          <w:sz w:val="24"/>
          <w:szCs w:val="24"/>
        </w:rPr>
        <w:t xml:space="preserve"> в России давно находится в состоянии застоя и по техническому оснащению отстает от развитых стран более чем на 30 лет. Более 70% радиологических клиник находится на крайне низком, катастрофическом уровне оснащения, не позволяющем обеспечивать удовлетворительное качество лечения. Количество необходимых для лечения и диагностики аппаратов в десятки раз меньше требуемого. Кроме этого, эффективность использования уже имеющегося радиологического оборудования высокой сложности (а оно, в основном, импортное) крайне низкая. Практически нет серьезных отечественных разработок и производств радиологического терапевтического и диагностического оборудования. Материально-техническая база для разработок и производств радиофармпрепаратов имеется, но требуется ее модернизация до уровня мировых стандартов. </w:t>
      </w: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t>По мнению экспертов, главная причина отставания и неудач в том, что российская медицина к высоким радиологическим технологиям не готова. Не хватает опыта, кадров, финансирования. Сегодня на фоне значительных все более возрастающих вложений в строительство корпусов и закупку оборудования, практически отсутствуют вложения в “мозги”, без которых оборудование и технологии на стыке физики и медицины и создаваться, и хорошо работать не могут. Не хватает соответствующих кадров (главным образом, медицинских физиков, инженеров, медицинских технологов), системы их подготовки, нормативно-правовой базы. Нет средств у государственных клиник для сервисного обслуживания дорогого оборудования и адекватной оплаты высококвалифицированного труда во вредных условиях.</w:t>
      </w: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t>В настоящее время в традиционной (</w:t>
      </w:r>
      <w:proofErr w:type="gramStart"/>
      <w:r w:rsidRPr="008973CC">
        <w:rPr>
          <w:rFonts w:ascii="Times New Roman" w:hAnsi="Times New Roman"/>
          <w:b/>
          <w:sz w:val="24"/>
          <w:szCs w:val="24"/>
        </w:rPr>
        <w:t>гамма-лучевой</w:t>
      </w:r>
      <w:proofErr w:type="gramEnd"/>
      <w:r w:rsidRPr="008973CC">
        <w:rPr>
          <w:rFonts w:ascii="Times New Roman" w:hAnsi="Times New Roman"/>
          <w:sz w:val="24"/>
          <w:szCs w:val="24"/>
        </w:rPr>
        <w:t xml:space="preserve">) лучевой терапии в России: </w:t>
      </w:r>
    </w:p>
    <w:p w:rsidR="008973CC" w:rsidRPr="008973CC" w:rsidRDefault="008973CC" w:rsidP="008973CC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t xml:space="preserve">Большинство отделений лучевой терапии имеет очень низкий уровень оснащения, который не способен обеспечить качественное лучевое лечение. </w:t>
      </w:r>
    </w:p>
    <w:p w:rsidR="008973CC" w:rsidRPr="008973CC" w:rsidRDefault="008973CC" w:rsidP="008973CC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t>Лучевое лечение ежегодно получают только 100-150 тыс. пациентов, т.е.  20-30% онкологических больных вместо нуждающихся в ней 70-75%. Причем лучевую терапию современного уровня получают не более 10% из них, те, кто лечится в лучших отделениях лучевой терапии.</w:t>
      </w:r>
    </w:p>
    <w:p w:rsidR="008973CC" w:rsidRPr="008973CC" w:rsidRDefault="008973CC" w:rsidP="008973CC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t xml:space="preserve">80% радиационно-терапевтического оборудования в России устарело, исчерпало свой ресурс, однако значительная его часть продолжает эксплуатироваться более 30 лет, что существенно превышает допустимые сроки. </w:t>
      </w:r>
    </w:p>
    <w:p w:rsidR="008973CC" w:rsidRPr="008973CC" w:rsidRDefault="008973CC" w:rsidP="008973CC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t xml:space="preserve">Погрешность подведения дозы облучения часто составляет 30% вместо </w:t>
      </w:r>
      <w:proofErr w:type="gramStart"/>
      <w:r w:rsidRPr="008973CC">
        <w:rPr>
          <w:rFonts w:ascii="Times New Roman" w:hAnsi="Times New Roman"/>
          <w:sz w:val="24"/>
          <w:szCs w:val="24"/>
        </w:rPr>
        <w:t>допустимых</w:t>
      </w:r>
      <w:proofErr w:type="gramEnd"/>
      <w:r w:rsidRPr="008973CC">
        <w:rPr>
          <w:rFonts w:ascii="Times New Roman" w:hAnsi="Times New Roman"/>
          <w:sz w:val="24"/>
          <w:szCs w:val="24"/>
        </w:rPr>
        <w:t xml:space="preserve"> по международным стандартам 5%. </w:t>
      </w:r>
    </w:p>
    <w:p w:rsidR="008973CC" w:rsidRPr="008973CC" w:rsidRDefault="008973CC" w:rsidP="008973CC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t xml:space="preserve">Число имеющихся в России медицинских ускорителей и медицинских физиков в 10 раз меньше необходимого сегодня. </w:t>
      </w: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2060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t xml:space="preserve">В </w:t>
      </w:r>
      <w:r w:rsidRPr="008973CC">
        <w:rPr>
          <w:rFonts w:ascii="Times New Roman" w:hAnsi="Times New Roman"/>
          <w:sz w:val="24"/>
          <w:szCs w:val="24"/>
        </w:rPr>
        <w:fldChar w:fldCharType="begin"/>
      </w:r>
      <w:r w:rsidRPr="008973CC">
        <w:rPr>
          <w:rFonts w:ascii="Times New Roman" w:hAnsi="Times New Roman"/>
          <w:sz w:val="24"/>
          <w:szCs w:val="24"/>
        </w:rPr>
        <w:instrText xml:space="preserve"> REF _Ref412980021 \h  \* MERGEFORMAT </w:instrText>
      </w:r>
      <w:r w:rsidRPr="008973CC">
        <w:rPr>
          <w:rFonts w:ascii="Times New Roman" w:hAnsi="Times New Roman"/>
          <w:sz w:val="24"/>
          <w:szCs w:val="24"/>
        </w:rPr>
      </w:r>
      <w:r w:rsidRPr="008973CC">
        <w:rPr>
          <w:rFonts w:ascii="Times New Roman" w:hAnsi="Times New Roman"/>
          <w:sz w:val="24"/>
          <w:szCs w:val="24"/>
        </w:rPr>
        <w:fldChar w:fldCharType="separate"/>
      </w: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b/>
          <w:color w:val="002060"/>
          <w:sz w:val="24"/>
          <w:szCs w:val="24"/>
        </w:rPr>
        <w:t>Табл.</w:t>
      </w:r>
      <w:r w:rsidRPr="008973CC">
        <w:rPr>
          <w:rFonts w:ascii="Times New Roman" w:hAnsi="Times New Roman"/>
          <w:b/>
          <w:noProof/>
          <w:color w:val="002060"/>
          <w:sz w:val="24"/>
          <w:szCs w:val="24"/>
        </w:rPr>
        <w:t xml:space="preserve"> 4</w:t>
      </w:r>
      <w:r w:rsidRPr="008973CC">
        <w:rPr>
          <w:rFonts w:ascii="Times New Roman" w:hAnsi="Times New Roman"/>
          <w:sz w:val="24"/>
          <w:szCs w:val="24"/>
        </w:rPr>
        <w:fldChar w:fldCharType="end"/>
      </w:r>
      <w:r w:rsidRPr="008973CC">
        <w:rPr>
          <w:rFonts w:ascii="Times New Roman" w:hAnsi="Times New Roman"/>
          <w:sz w:val="24"/>
          <w:szCs w:val="24"/>
        </w:rPr>
        <w:t xml:space="preserve"> приведены цифры, характеризующие степень отставания в области радиационной онкологии. </w:t>
      </w:r>
    </w:p>
    <w:p w:rsidR="008973CC" w:rsidRPr="008973CC" w:rsidRDefault="008973CC" w:rsidP="008973CC">
      <w:pPr>
        <w:spacing w:after="0" w:line="240" w:lineRule="auto"/>
        <w:ind w:firstLine="567"/>
        <w:rPr>
          <w:rFonts w:ascii="Times New Roman" w:hAnsi="Times New Roman"/>
          <w:b/>
          <w:color w:val="002060"/>
          <w:sz w:val="24"/>
          <w:szCs w:val="24"/>
        </w:rPr>
      </w:pPr>
      <w:bookmarkStart w:id="2" w:name="_Ref412980021"/>
    </w:p>
    <w:p w:rsidR="008973CC" w:rsidRPr="008973CC" w:rsidRDefault="008973CC" w:rsidP="008973CC">
      <w:pPr>
        <w:spacing w:after="0" w:line="240" w:lineRule="auto"/>
        <w:ind w:firstLine="567"/>
        <w:rPr>
          <w:rFonts w:ascii="Times New Roman" w:hAnsi="Times New Roman"/>
          <w:b/>
          <w:color w:val="002060"/>
          <w:sz w:val="24"/>
          <w:szCs w:val="24"/>
        </w:rPr>
      </w:pPr>
      <w:r w:rsidRPr="008973CC">
        <w:rPr>
          <w:rFonts w:ascii="Times New Roman" w:hAnsi="Times New Roman"/>
          <w:b/>
          <w:color w:val="002060"/>
          <w:sz w:val="24"/>
          <w:szCs w:val="24"/>
        </w:rPr>
        <w:t xml:space="preserve">Табл. </w:t>
      </w:r>
      <w:r w:rsidRPr="008973CC">
        <w:rPr>
          <w:rFonts w:ascii="Times New Roman" w:hAnsi="Times New Roman"/>
          <w:b/>
          <w:color w:val="002060"/>
          <w:sz w:val="24"/>
          <w:szCs w:val="24"/>
        </w:rPr>
        <w:fldChar w:fldCharType="begin"/>
      </w:r>
      <w:r w:rsidRPr="008973CC">
        <w:rPr>
          <w:rFonts w:ascii="Times New Roman" w:hAnsi="Times New Roman"/>
          <w:b/>
          <w:color w:val="002060"/>
          <w:sz w:val="24"/>
          <w:szCs w:val="24"/>
        </w:rPr>
        <w:instrText xml:space="preserve"> SEQ Табл. \* ARABIC </w:instrText>
      </w:r>
      <w:r w:rsidRPr="008973CC">
        <w:rPr>
          <w:rFonts w:ascii="Times New Roman" w:hAnsi="Times New Roman"/>
          <w:b/>
          <w:color w:val="002060"/>
          <w:sz w:val="24"/>
          <w:szCs w:val="24"/>
        </w:rPr>
        <w:fldChar w:fldCharType="separate"/>
      </w:r>
      <w:r w:rsidRPr="008973CC">
        <w:rPr>
          <w:rFonts w:ascii="Times New Roman" w:hAnsi="Times New Roman"/>
          <w:b/>
          <w:noProof/>
          <w:color w:val="002060"/>
          <w:sz w:val="24"/>
          <w:szCs w:val="24"/>
        </w:rPr>
        <w:t>4</w:t>
      </w:r>
      <w:r w:rsidRPr="008973CC">
        <w:rPr>
          <w:rFonts w:ascii="Times New Roman" w:hAnsi="Times New Roman"/>
          <w:b/>
          <w:color w:val="002060"/>
          <w:sz w:val="24"/>
          <w:szCs w:val="24"/>
        </w:rPr>
        <w:fldChar w:fldCharType="end"/>
      </w:r>
      <w:bookmarkEnd w:id="2"/>
      <w:r w:rsidRPr="008973CC">
        <w:rPr>
          <w:rFonts w:ascii="Times New Roman" w:hAnsi="Times New Roman"/>
          <w:b/>
          <w:color w:val="002060"/>
          <w:sz w:val="24"/>
          <w:szCs w:val="24"/>
        </w:rPr>
        <w:t xml:space="preserve">. Количественные показатели на 1 </w:t>
      </w:r>
      <w:proofErr w:type="gramStart"/>
      <w:r w:rsidRPr="008973CC">
        <w:rPr>
          <w:rFonts w:ascii="Times New Roman" w:hAnsi="Times New Roman"/>
          <w:b/>
          <w:color w:val="002060"/>
          <w:sz w:val="24"/>
          <w:szCs w:val="24"/>
        </w:rPr>
        <w:t>млн</w:t>
      </w:r>
      <w:proofErr w:type="gramEnd"/>
      <w:r w:rsidRPr="008973CC">
        <w:rPr>
          <w:rFonts w:ascii="Times New Roman" w:hAnsi="Times New Roman"/>
          <w:b/>
          <w:color w:val="002060"/>
          <w:sz w:val="24"/>
          <w:szCs w:val="24"/>
        </w:rPr>
        <w:t xml:space="preserve"> населения</w:t>
      </w:r>
    </w:p>
    <w:tbl>
      <w:tblPr>
        <w:tblW w:w="9641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</w:tblBorders>
        <w:tblLook w:val="0020" w:firstRow="1" w:lastRow="0" w:firstColumn="0" w:lastColumn="0" w:noHBand="0" w:noVBand="0"/>
      </w:tblPr>
      <w:tblGrid>
        <w:gridCol w:w="5382"/>
        <w:gridCol w:w="1276"/>
        <w:gridCol w:w="1701"/>
        <w:gridCol w:w="1282"/>
      </w:tblGrid>
      <w:tr w:rsidR="008973CC" w:rsidRPr="008973CC" w:rsidTr="00355141">
        <w:trPr>
          <w:tblHeader/>
        </w:trPr>
        <w:tc>
          <w:tcPr>
            <w:tcW w:w="5382" w:type="dxa"/>
            <w:tcBorders>
              <w:left w:val="single" w:sz="4" w:space="0" w:color="4F81BD"/>
              <w:right w:val="single" w:sz="4" w:space="0" w:color="4F81BD"/>
            </w:tcBorders>
            <w:shd w:val="clear" w:color="auto" w:fill="4F81BD"/>
            <w:vAlign w:val="center"/>
          </w:tcPr>
          <w:p w:rsidR="008973CC" w:rsidRPr="008973CC" w:rsidRDefault="008973CC" w:rsidP="003551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4F81BD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8973CC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4F81BD"/>
              <w:right w:val="single" w:sz="4" w:space="0" w:color="4F81BD"/>
            </w:tcBorders>
            <w:shd w:val="clear" w:color="auto" w:fill="4F81BD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8973CC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Европа (в среднем)</w:t>
            </w:r>
          </w:p>
        </w:tc>
        <w:tc>
          <w:tcPr>
            <w:tcW w:w="1282" w:type="dxa"/>
            <w:shd w:val="clear" w:color="auto" w:fill="4F81BD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8973CC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США</w:t>
            </w:r>
          </w:p>
        </w:tc>
      </w:tr>
      <w:tr w:rsidR="008973CC" w:rsidRPr="008973CC" w:rsidTr="00355141">
        <w:tc>
          <w:tcPr>
            <w:tcW w:w="5382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73CC">
              <w:rPr>
                <w:rFonts w:ascii="Times New Roman" w:hAnsi="Times New Roman"/>
                <w:sz w:val="24"/>
                <w:szCs w:val="24"/>
              </w:rPr>
              <w:t>Ускорители</w:t>
            </w:r>
          </w:p>
        </w:tc>
        <w:tc>
          <w:tcPr>
            <w:tcW w:w="1276" w:type="dxa"/>
            <w:tcBorders>
              <w:top w:val="single" w:sz="4" w:space="0" w:color="4F81BD"/>
              <w:bottom w:val="single" w:sz="4" w:space="0" w:color="4F81BD"/>
            </w:tcBorders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CC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701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82" w:type="dxa"/>
            <w:tcBorders>
              <w:top w:val="single" w:sz="4" w:space="0" w:color="4F81BD"/>
              <w:bottom w:val="single" w:sz="4" w:space="0" w:color="4F81BD"/>
            </w:tcBorders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C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8973CC" w:rsidRPr="008973CC" w:rsidTr="00355141">
        <w:tc>
          <w:tcPr>
            <w:tcW w:w="5382" w:type="dxa"/>
            <w:tcBorders>
              <w:left w:val="single" w:sz="4" w:space="0" w:color="4F81BD"/>
              <w:right w:val="single" w:sz="4" w:space="0" w:color="4F81BD"/>
            </w:tcBorders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73CC">
              <w:rPr>
                <w:rFonts w:ascii="Times New Roman" w:hAnsi="Times New Roman"/>
                <w:sz w:val="24"/>
                <w:szCs w:val="24"/>
              </w:rPr>
              <w:t>Радиационно-терапевтические центры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4F81BD"/>
              <w:right w:val="single" w:sz="4" w:space="0" w:color="4F81BD"/>
            </w:tcBorders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CC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C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973CC" w:rsidRPr="008973CC" w:rsidTr="00355141">
        <w:tc>
          <w:tcPr>
            <w:tcW w:w="5382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73CC">
              <w:rPr>
                <w:rFonts w:ascii="Times New Roman" w:hAnsi="Times New Roman"/>
                <w:sz w:val="24"/>
                <w:szCs w:val="24"/>
              </w:rPr>
              <w:t>Медицинские физики и дозиметристы</w:t>
            </w:r>
          </w:p>
        </w:tc>
        <w:tc>
          <w:tcPr>
            <w:tcW w:w="1276" w:type="dxa"/>
            <w:tcBorders>
              <w:top w:val="single" w:sz="4" w:space="0" w:color="4F81BD"/>
              <w:bottom w:val="single" w:sz="4" w:space="0" w:color="4F81BD"/>
            </w:tcBorders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C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82" w:type="dxa"/>
            <w:tcBorders>
              <w:top w:val="single" w:sz="4" w:space="0" w:color="4F81BD"/>
              <w:bottom w:val="single" w:sz="4" w:space="0" w:color="4F81BD"/>
            </w:tcBorders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CC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8973CC" w:rsidRPr="008973CC" w:rsidTr="00355141">
        <w:tc>
          <w:tcPr>
            <w:tcW w:w="5382" w:type="dxa"/>
            <w:tcBorders>
              <w:left w:val="single" w:sz="4" w:space="0" w:color="4F81BD"/>
              <w:right w:val="single" w:sz="4" w:space="0" w:color="4F81BD"/>
            </w:tcBorders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73CC">
              <w:rPr>
                <w:rFonts w:ascii="Times New Roman" w:hAnsi="Times New Roman"/>
                <w:sz w:val="24"/>
                <w:szCs w:val="24"/>
              </w:rPr>
              <w:t xml:space="preserve">Радиационные онкологи и </w:t>
            </w:r>
            <w:proofErr w:type="spellStart"/>
            <w:r w:rsidRPr="008973CC">
              <w:rPr>
                <w:rFonts w:ascii="Times New Roman" w:hAnsi="Times New Roman"/>
                <w:sz w:val="24"/>
                <w:szCs w:val="24"/>
              </w:rPr>
              <w:t>радиолучевые</w:t>
            </w:r>
            <w:proofErr w:type="spellEnd"/>
            <w:r w:rsidRPr="008973CC">
              <w:rPr>
                <w:rFonts w:ascii="Times New Roman" w:hAnsi="Times New Roman"/>
                <w:sz w:val="24"/>
                <w:szCs w:val="24"/>
              </w:rPr>
              <w:t xml:space="preserve"> терапевты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C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left w:val="single" w:sz="4" w:space="0" w:color="4F81BD"/>
              <w:right w:val="single" w:sz="4" w:space="0" w:color="4F81BD"/>
            </w:tcBorders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C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82" w:type="dxa"/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CC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  <w:tr w:rsidR="008973CC" w:rsidRPr="008973CC" w:rsidTr="00355141">
        <w:tc>
          <w:tcPr>
            <w:tcW w:w="5382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73CC">
              <w:rPr>
                <w:rFonts w:ascii="Times New Roman" w:hAnsi="Times New Roman"/>
                <w:sz w:val="24"/>
                <w:szCs w:val="24"/>
              </w:rPr>
              <w:t>Радиационные технологи</w:t>
            </w:r>
          </w:p>
        </w:tc>
        <w:tc>
          <w:tcPr>
            <w:tcW w:w="1276" w:type="dxa"/>
            <w:tcBorders>
              <w:top w:val="single" w:sz="4" w:space="0" w:color="4F81BD"/>
              <w:bottom w:val="single" w:sz="4" w:space="0" w:color="4F81BD"/>
            </w:tcBorders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C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C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82" w:type="dxa"/>
            <w:tcBorders>
              <w:top w:val="single" w:sz="4" w:space="0" w:color="4F81BD"/>
              <w:bottom w:val="single" w:sz="4" w:space="0" w:color="4F81BD"/>
            </w:tcBorders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C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</w:tbl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2060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lastRenderedPageBreak/>
        <w:t xml:space="preserve">Что касается специальных радиационно-терапевтических аппаратов высокого уровня, то ситуация с наличием в России наиболее распространенных из них отражена в </w:t>
      </w:r>
      <w:r w:rsidRPr="008973CC">
        <w:rPr>
          <w:rFonts w:ascii="Times New Roman" w:hAnsi="Times New Roman"/>
          <w:sz w:val="24"/>
          <w:szCs w:val="24"/>
        </w:rPr>
        <w:fldChar w:fldCharType="begin"/>
      </w:r>
      <w:r w:rsidRPr="008973CC">
        <w:rPr>
          <w:rFonts w:ascii="Times New Roman" w:hAnsi="Times New Roman"/>
          <w:sz w:val="24"/>
          <w:szCs w:val="24"/>
        </w:rPr>
        <w:instrText xml:space="preserve"> REF _Ref412980055 \h  \* MERGEFORMAT </w:instrText>
      </w:r>
      <w:r w:rsidRPr="008973CC">
        <w:rPr>
          <w:rFonts w:ascii="Times New Roman" w:hAnsi="Times New Roman"/>
          <w:sz w:val="24"/>
          <w:szCs w:val="24"/>
        </w:rPr>
      </w:r>
      <w:r w:rsidRPr="008973CC">
        <w:rPr>
          <w:rFonts w:ascii="Times New Roman" w:hAnsi="Times New Roman"/>
          <w:sz w:val="24"/>
          <w:szCs w:val="24"/>
        </w:rPr>
        <w:fldChar w:fldCharType="separate"/>
      </w: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b/>
          <w:color w:val="002060"/>
          <w:sz w:val="24"/>
          <w:szCs w:val="24"/>
        </w:rPr>
        <w:t>Табл.</w:t>
      </w:r>
      <w:r w:rsidRPr="008973CC">
        <w:rPr>
          <w:rFonts w:ascii="Times New Roman" w:hAnsi="Times New Roman"/>
          <w:b/>
          <w:noProof/>
          <w:color w:val="002060"/>
          <w:sz w:val="24"/>
          <w:szCs w:val="24"/>
        </w:rPr>
        <w:t xml:space="preserve"> 5</w:t>
      </w:r>
      <w:r w:rsidRPr="008973CC">
        <w:rPr>
          <w:rFonts w:ascii="Times New Roman" w:hAnsi="Times New Roman"/>
          <w:sz w:val="24"/>
          <w:szCs w:val="24"/>
        </w:rPr>
        <w:fldChar w:fldCharType="end"/>
      </w:r>
      <w:r w:rsidRPr="008973CC">
        <w:rPr>
          <w:rFonts w:ascii="Times New Roman" w:hAnsi="Times New Roman"/>
          <w:sz w:val="24"/>
          <w:szCs w:val="24"/>
        </w:rPr>
        <w:t xml:space="preserve">, откуда следует, что страна только начала их </w:t>
      </w:r>
      <w:proofErr w:type="gramStart"/>
      <w:r w:rsidRPr="008973CC">
        <w:rPr>
          <w:rFonts w:ascii="Times New Roman" w:hAnsi="Times New Roman"/>
          <w:sz w:val="24"/>
          <w:szCs w:val="24"/>
        </w:rPr>
        <w:t>приобретать и осваивать</w:t>
      </w:r>
      <w:proofErr w:type="gramEnd"/>
      <w:r w:rsidRPr="008973CC">
        <w:rPr>
          <w:rFonts w:ascii="Times New Roman" w:hAnsi="Times New Roman"/>
          <w:sz w:val="24"/>
          <w:szCs w:val="24"/>
        </w:rPr>
        <w:t>.</w:t>
      </w:r>
    </w:p>
    <w:p w:rsidR="008973CC" w:rsidRPr="008973CC" w:rsidRDefault="008973CC" w:rsidP="008973CC">
      <w:pPr>
        <w:spacing w:after="0" w:line="240" w:lineRule="auto"/>
        <w:ind w:firstLine="567"/>
        <w:jc w:val="right"/>
        <w:rPr>
          <w:rFonts w:ascii="Times New Roman" w:hAnsi="Times New Roman"/>
          <w:b/>
          <w:color w:val="002060"/>
          <w:sz w:val="24"/>
          <w:szCs w:val="24"/>
        </w:rPr>
      </w:pPr>
      <w:bookmarkStart w:id="3" w:name="_Ref412980055"/>
    </w:p>
    <w:p w:rsidR="008973CC" w:rsidRPr="008973CC" w:rsidRDefault="008973CC" w:rsidP="008973CC">
      <w:pPr>
        <w:spacing w:after="0" w:line="240" w:lineRule="auto"/>
        <w:ind w:firstLine="567"/>
        <w:rPr>
          <w:rFonts w:ascii="Times New Roman" w:hAnsi="Times New Roman"/>
          <w:b/>
          <w:color w:val="002060"/>
          <w:sz w:val="24"/>
          <w:szCs w:val="24"/>
        </w:rPr>
      </w:pPr>
      <w:r w:rsidRPr="008973CC">
        <w:rPr>
          <w:rFonts w:ascii="Times New Roman" w:hAnsi="Times New Roman"/>
          <w:b/>
          <w:color w:val="002060"/>
          <w:sz w:val="24"/>
          <w:szCs w:val="24"/>
        </w:rPr>
        <w:t xml:space="preserve">Табл. </w:t>
      </w:r>
      <w:r w:rsidRPr="008973CC">
        <w:rPr>
          <w:rFonts w:ascii="Times New Roman" w:hAnsi="Times New Roman"/>
          <w:b/>
          <w:color w:val="002060"/>
          <w:sz w:val="24"/>
          <w:szCs w:val="24"/>
        </w:rPr>
        <w:fldChar w:fldCharType="begin"/>
      </w:r>
      <w:r w:rsidRPr="008973CC">
        <w:rPr>
          <w:rFonts w:ascii="Times New Roman" w:hAnsi="Times New Roman"/>
          <w:b/>
          <w:color w:val="002060"/>
          <w:sz w:val="24"/>
          <w:szCs w:val="24"/>
        </w:rPr>
        <w:instrText xml:space="preserve"> SEQ Табл. \* ARABIC </w:instrText>
      </w:r>
      <w:r w:rsidRPr="008973CC">
        <w:rPr>
          <w:rFonts w:ascii="Times New Roman" w:hAnsi="Times New Roman"/>
          <w:b/>
          <w:color w:val="002060"/>
          <w:sz w:val="24"/>
          <w:szCs w:val="24"/>
        </w:rPr>
        <w:fldChar w:fldCharType="separate"/>
      </w:r>
      <w:r w:rsidRPr="008973CC">
        <w:rPr>
          <w:rFonts w:ascii="Times New Roman" w:hAnsi="Times New Roman"/>
          <w:b/>
          <w:noProof/>
          <w:color w:val="002060"/>
          <w:sz w:val="24"/>
          <w:szCs w:val="24"/>
        </w:rPr>
        <w:t>5</w:t>
      </w:r>
      <w:r w:rsidRPr="008973CC">
        <w:rPr>
          <w:rFonts w:ascii="Times New Roman" w:hAnsi="Times New Roman"/>
          <w:b/>
          <w:color w:val="002060"/>
          <w:sz w:val="24"/>
          <w:szCs w:val="24"/>
        </w:rPr>
        <w:fldChar w:fldCharType="end"/>
      </w:r>
      <w:bookmarkEnd w:id="3"/>
      <w:r w:rsidRPr="008973CC">
        <w:rPr>
          <w:rFonts w:ascii="Times New Roman" w:hAnsi="Times New Roman"/>
          <w:b/>
          <w:color w:val="002060"/>
          <w:sz w:val="24"/>
          <w:szCs w:val="24"/>
        </w:rPr>
        <w:t>. Оснащение специальными радиационно-терапевтическими аппаратами</w:t>
      </w:r>
      <w:r w:rsidRPr="008973CC">
        <w:rPr>
          <w:rFonts w:ascii="Times New Roman" w:hAnsi="Times New Roman"/>
          <w:b/>
          <w:color w:val="002060"/>
          <w:sz w:val="24"/>
          <w:szCs w:val="24"/>
          <w:vertAlign w:val="superscript"/>
        </w:rPr>
        <w:footnoteReference w:id="6"/>
      </w:r>
    </w:p>
    <w:tbl>
      <w:tblPr>
        <w:tblW w:w="9634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</w:tblBorders>
        <w:tblLook w:val="0020" w:firstRow="1" w:lastRow="0" w:firstColumn="0" w:lastColumn="0" w:noHBand="0" w:noVBand="0"/>
      </w:tblPr>
      <w:tblGrid>
        <w:gridCol w:w="2405"/>
        <w:gridCol w:w="1807"/>
        <w:gridCol w:w="1807"/>
        <w:gridCol w:w="1807"/>
        <w:gridCol w:w="1808"/>
      </w:tblGrid>
      <w:tr w:rsidR="008973CC" w:rsidRPr="008973CC" w:rsidTr="00355141">
        <w:tc>
          <w:tcPr>
            <w:tcW w:w="2405" w:type="dxa"/>
            <w:tcBorders>
              <w:left w:val="single" w:sz="4" w:space="0" w:color="4F81BD"/>
              <w:right w:val="single" w:sz="4" w:space="0" w:color="4F81BD"/>
            </w:tcBorders>
            <w:shd w:val="clear" w:color="auto" w:fill="4F81BD"/>
            <w:vAlign w:val="center"/>
          </w:tcPr>
          <w:p w:rsidR="008973CC" w:rsidRPr="008973CC" w:rsidRDefault="008973CC" w:rsidP="003551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807" w:type="dxa"/>
            <w:shd w:val="clear" w:color="auto" w:fill="4F81BD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8973CC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В мире</w:t>
            </w:r>
          </w:p>
        </w:tc>
        <w:tc>
          <w:tcPr>
            <w:tcW w:w="1807" w:type="dxa"/>
            <w:tcBorders>
              <w:left w:val="single" w:sz="4" w:space="0" w:color="4F81BD"/>
              <w:right w:val="single" w:sz="4" w:space="0" w:color="4F81BD"/>
            </w:tcBorders>
            <w:shd w:val="clear" w:color="auto" w:fill="4F81BD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8973CC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США</w:t>
            </w:r>
          </w:p>
        </w:tc>
        <w:tc>
          <w:tcPr>
            <w:tcW w:w="1807" w:type="dxa"/>
            <w:shd w:val="clear" w:color="auto" w:fill="4F81BD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8973CC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Япония</w:t>
            </w:r>
          </w:p>
        </w:tc>
        <w:tc>
          <w:tcPr>
            <w:tcW w:w="1808" w:type="dxa"/>
            <w:tcBorders>
              <w:left w:val="single" w:sz="4" w:space="0" w:color="4F81BD"/>
              <w:right w:val="single" w:sz="4" w:space="0" w:color="4F81BD"/>
            </w:tcBorders>
            <w:shd w:val="clear" w:color="auto" w:fill="4F81BD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</w:pPr>
            <w:r w:rsidRPr="008973CC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Россия</w:t>
            </w:r>
          </w:p>
        </w:tc>
      </w:tr>
      <w:tr w:rsidR="008973CC" w:rsidRPr="008973CC" w:rsidTr="00355141">
        <w:tc>
          <w:tcPr>
            <w:tcW w:w="240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73CC">
              <w:rPr>
                <w:rFonts w:ascii="Times New Roman" w:hAnsi="Times New Roman"/>
                <w:sz w:val="24"/>
                <w:szCs w:val="24"/>
              </w:rPr>
              <w:t>Гамма-нож</w:t>
            </w:r>
          </w:p>
        </w:tc>
        <w:tc>
          <w:tcPr>
            <w:tcW w:w="1807" w:type="dxa"/>
            <w:tcBorders>
              <w:top w:val="single" w:sz="4" w:space="0" w:color="4F81BD"/>
              <w:bottom w:val="single" w:sz="4" w:space="0" w:color="4F81BD"/>
            </w:tcBorders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C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807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73CC">
              <w:rPr>
                <w:rFonts w:ascii="Times New Roman" w:hAnsi="Times New Roman"/>
                <w:sz w:val="24"/>
                <w:szCs w:val="24"/>
                <w:lang w:val="en-US"/>
              </w:rPr>
              <w:t>&gt;100</w:t>
            </w:r>
          </w:p>
        </w:tc>
        <w:tc>
          <w:tcPr>
            <w:tcW w:w="1807" w:type="dxa"/>
            <w:tcBorders>
              <w:top w:val="single" w:sz="4" w:space="0" w:color="4F81BD"/>
              <w:bottom w:val="single" w:sz="4" w:space="0" w:color="4F81BD"/>
            </w:tcBorders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73CC">
              <w:rPr>
                <w:rFonts w:ascii="Times New Roman" w:hAnsi="Times New Roman"/>
                <w:sz w:val="24"/>
                <w:szCs w:val="24"/>
                <w:lang w:val="en-US"/>
              </w:rPr>
              <w:t>&gt;50</w:t>
            </w:r>
          </w:p>
        </w:tc>
        <w:tc>
          <w:tcPr>
            <w:tcW w:w="1808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973CC" w:rsidRPr="008973CC" w:rsidTr="00355141">
        <w:tc>
          <w:tcPr>
            <w:tcW w:w="2405" w:type="dxa"/>
            <w:tcBorders>
              <w:left w:val="single" w:sz="4" w:space="0" w:color="4F81BD"/>
              <w:right w:val="single" w:sz="4" w:space="0" w:color="4F81BD"/>
            </w:tcBorders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73CC">
              <w:rPr>
                <w:rFonts w:ascii="Times New Roman" w:hAnsi="Times New Roman"/>
                <w:sz w:val="24"/>
                <w:szCs w:val="24"/>
              </w:rPr>
              <w:t>Кибер</w:t>
            </w:r>
            <w:proofErr w:type="spellEnd"/>
            <w:r w:rsidRPr="008973CC">
              <w:rPr>
                <w:rFonts w:ascii="Times New Roman" w:hAnsi="Times New Roman"/>
                <w:sz w:val="24"/>
                <w:szCs w:val="24"/>
              </w:rPr>
              <w:t>-нож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73CC">
              <w:rPr>
                <w:rFonts w:ascii="Times New Roman" w:hAnsi="Times New Roman"/>
                <w:sz w:val="24"/>
                <w:szCs w:val="24"/>
                <w:lang w:val="en-US"/>
              </w:rPr>
              <w:t>&gt;250</w:t>
            </w:r>
          </w:p>
        </w:tc>
        <w:tc>
          <w:tcPr>
            <w:tcW w:w="1807" w:type="dxa"/>
            <w:tcBorders>
              <w:left w:val="single" w:sz="4" w:space="0" w:color="4F81BD"/>
              <w:right w:val="single" w:sz="4" w:space="0" w:color="4F81BD"/>
            </w:tcBorders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73CC">
              <w:rPr>
                <w:rFonts w:ascii="Times New Roman" w:hAnsi="Times New Roman"/>
                <w:sz w:val="24"/>
                <w:szCs w:val="24"/>
                <w:lang w:val="en-US"/>
              </w:rPr>
              <w:t>115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73CC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808" w:type="dxa"/>
            <w:tcBorders>
              <w:left w:val="single" w:sz="4" w:space="0" w:color="4F81BD"/>
              <w:right w:val="single" w:sz="4" w:space="0" w:color="4F81BD"/>
            </w:tcBorders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3C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973CC" w:rsidRPr="008973CC" w:rsidTr="00355141">
        <w:tc>
          <w:tcPr>
            <w:tcW w:w="2405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973CC">
              <w:rPr>
                <w:rFonts w:ascii="Times New Roman" w:hAnsi="Times New Roman"/>
                <w:sz w:val="24"/>
                <w:szCs w:val="24"/>
              </w:rPr>
              <w:t>Томотерапия</w:t>
            </w:r>
            <w:proofErr w:type="spellEnd"/>
          </w:p>
        </w:tc>
        <w:tc>
          <w:tcPr>
            <w:tcW w:w="1807" w:type="dxa"/>
            <w:tcBorders>
              <w:top w:val="single" w:sz="4" w:space="0" w:color="4F81BD"/>
              <w:bottom w:val="single" w:sz="4" w:space="0" w:color="4F81BD"/>
            </w:tcBorders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73CC">
              <w:rPr>
                <w:rFonts w:ascii="Times New Roman" w:hAnsi="Times New Roman"/>
                <w:sz w:val="24"/>
                <w:szCs w:val="24"/>
                <w:lang w:val="en-US"/>
              </w:rPr>
              <w:t>&gt;250</w:t>
            </w:r>
          </w:p>
        </w:tc>
        <w:tc>
          <w:tcPr>
            <w:tcW w:w="1807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73CC">
              <w:rPr>
                <w:rFonts w:ascii="Times New Roman" w:hAnsi="Times New Roman"/>
                <w:sz w:val="24"/>
                <w:szCs w:val="24"/>
                <w:lang w:val="en-US"/>
              </w:rPr>
              <w:t>&gt;160</w:t>
            </w:r>
          </w:p>
        </w:tc>
        <w:tc>
          <w:tcPr>
            <w:tcW w:w="1807" w:type="dxa"/>
            <w:tcBorders>
              <w:top w:val="single" w:sz="4" w:space="0" w:color="4F81BD"/>
              <w:bottom w:val="single" w:sz="4" w:space="0" w:color="4F81BD"/>
            </w:tcBorders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73CC">
              <w:rPr>
                <w:rFonts w:ascii="Times New Roman" w:hAnsi="Times New Roman"/>
                <w:sz w:val="24"/>
                <w:szCs w:val="24"/>
                <w:lang w:val="en-US"/>
              </w:rPr>
              <w:t>&gt;15</w:t>
            </w:r>
          </w:p>
        </w:tc>
        <w:tc>
          <w:tcPr>
            <w:tcW w:w="1808" w:type="dxa"/>
            <w:tcBorders>
              <w:top w:val="single" w:sz="4" w:space="0" w:color="4F81BD"/>
              <w:left w:val="single" w:sz="4" w:space="0" w:color="4F81BD"/>
              <w:bottom w:val="single" w:sz="4" w:space="0" w:color="4F81BD"/>
              <w:right w:val="single" w:sz="4" w:space="0" w:color="4F81BD"/>
            </w:tcBorders>
            <w:shd w:val="clear" w:color="auto" w:fill="auto"/>
            <w:vAlign w:val="center"/>
          </w:tcPr>
          <w:p w:rsidR="008973CC" w:rsidRPr="008973CC" w:rsidRDefault="008973CC" w:rsidP="003551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73C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</w:tbl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t xml:space="preserve">Кроме того, за последние годы в </w:t>
      </w:r>
      <w:proofErr w:type="gramStart"/>
      <w:r w:rsidRPr="008973CC">
        <w:rPr>
          <w:rFonts w:ascii="Times New Roman" w:hAnsi="Times New Roman"/>
          <w:sz w:val="24"/>
          <w:szCs w:val="24"/>
        </w:rPr>
        <w:t>мире</w:t>
      </w:r>
      <w:proofErr w:type="gramEnd"/>
      <w:r w:rsidRPr="008973CC">
        <w:rPr>
          <w:rFonts w:ascii="Times New Roman" w:hAnsi="Times New Roman"/>
          <w:sz w:val="24"/>
          <w:szCs w:val="24"/>
        </w:rPr>
        <w:t xml:space="preserve"> появились новые интересные специальные гамма-терапевтические и ускорительные аппараты, которых в России еще нет. </w:t>
      </w:r>
      <w:proofErr w:type="gramStart"/>
      <w:r w:rsidRPr="008973CC">
        <w:rPr>
          <w:rFonts w:ascii="Times New Roman" w:hAnsi="Times New Roman"/>
          <w:sz w:val="24"/>
          <w:szCs w:val="24"/>
        </w:rPr>
        <w:t>Это американский гамма-терапевтический аппарат “</w:t>
      </w:r>
      <w:proofErr w:type="spellStart"/>
      <w:r w:rsidRPr="008973CC">
        <w:rPr>
          <w:rFonts w:ascii="Times New Roman" w:hAnsi="Times New Roman"/>
          <w:sz w:val="24"/>
          <w:szCs w:val="24"/>
        </w:rPr>
        <w:t>Wiew</w:t>
      </w:r>
      <w:proofErr w:type="spellEnd"/>
      <w:r w:rsidRPr="008973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73CC">
        <w:rPr>
          <w:rFonts w:ascii="Times New Roman" w:hAnsi="Times New Roman"/>
          <w:sz w:val="24"/>
          <w:szCs w:val="24"/>
        </w:rPr>
        <w:t>Ray</w:t>
      </w:r>
      <w:proofErr w:type="spellEnd"/>
      <w:r w:rsidRPr="008973CC">
        <w:rPr>
          <w:rFonts w:ascii="Times New Roman" w:hAnsi="Times New Roman"/>
          <w:sz w:val="24"/>
          <w:szCs w:val="24"/>
        </w:rPr>
        <w:t xml:space="preserve">”, объединяющий в пределах одного </w:t>
      </w:r>
      <w:proofErr w:type="spellStart"/>
      <w:r w:rsidRPr="008973CC">
        <w:rPr>
          <w:rFonts w:ascii="Times New Roman" w:hAnsi="Times New Roman"/>
          <w:sz w:val="24"/>
          <w:szCs w:val="24"/>
        </w:rPr>
        <w:t>гантри</w:t>
      </w:r>
      <w:proofErr w:type="spellEnd"/>
      <w:r w:rsidRPr="008973CC">
        <w:rPr>
          <w:rFonts w:ascii="Times New Roman" w:hAnsi="Times New Roman"/>
          <w:sz w:val="24"/>
          <w:szCs w:val="24"/>
        </w:rPr>
        <w:t xml:space="preserve"> три источника </w:t>
      </w:r>
      <w:r w:rsidRPr="008973CC">
        <w:rPr>
          <w:rFonts w:ascii="Times New Roman" w:hAnsi="Times New Roman"/>
          <w:sz w:val="24"/>
          <w:szCs w:val="24"/>
          <w:vertAlign w:val="superscript"/>
        </w:rPr>
        <w:t>60</w:t>
      </w:r>
      <w:r w:rsidRPr="008973CC">
        <w:rPr>
          <w:rFonts w:ascii="Times New Roman" w:hAnsi="Times New Roman"/>
          <w:sz w:val="24"/>
          <w:szCs w:val="24"/>
        </w:rPr>
        <w:t xml:space="preserve">Со с многолепестковыми коллиматорами и работающий под управлением по магнитно-резонансным изображениям, а также роботизированный ускорительный комплекс стереотаксического облучения всего тела VERO, объединяющий в себе самые передовые технологии (SBRT, IMRT, VIMAT, IGRT). </w:t>
      </w:r>
      <w:proofErr w:type="gramEnd"/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t xml:space="preserve">В </w:t>
      </w:r>
      <w:r w:rsidRPr="008973CC">
        <w:rPr>
          <w:rFonts w:ascii="Times New Roman" w:hAnsi="Times New Roman"/>
          <w:b/>
          <w:sz w:val="24"/>
          <w:szCs w:val="24"/>
        </w:rPr>
        <w:t>протонной</w:t>
      </w:r>
      <w:r w:rsidRPr="008973CC">
        <w:rPr>
          <w:rFonts w:ascii="Times New Roman" w:hAnsi="Times New Roman"/>
          <w:sz w:val="24"/>
          <w:szCs w:val="24"/>
        </w:rPr>
        <w:t xml:space="preserve"> терапии СССР вместе с США и Швецией был одним из пионеров, создав в 60–90-е годы прошлого века первые экспериментальные центры протонной терапии на базе физических научно-исследовательских институтов в Москве (ИТЭФ, лечение начато в 1969 году), в Дубне (ОИЯИ, 1967) и в Гатчине (ЛИЯФ, 1975). Всего в этих центрах к настоящему времени проведено лечение 6 823 пациентов. </w:t>
      </w: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t xml:space="preserve">В ОИЯИ впервые в России была реализована методика трехмерного конформного облучения глубоко залегающих опухолей протонным пучком, при которой максимум формируемого </w:t>
      </w:r>
      <w:proofErr w:type="spellStart"/>
      <w:r w:rsidRPr="008973CC">
        <w:rPr>
          <w:rFonts w:ascii="Times New Roman" w:hAnsi="Times New Roman"/>
          <w:sz w:val="24"/>
          <w:szCs w:val="24"/>
        </w:rPr>
        <w:t>дозного</w:t>
      </w:r>
      <w:proofErr w:type="spellEnd"/>
      <w:r w:rsidRPr="008973CC">
        <w:rPr>
          <w:rFonts w:ascii="Times New Roman" w:hAnsi="Times New Roman"/>
          <w:sz w:val="24"/>
          <w:szCs w:val="24"/>
        </w:rPr>
        <w:t xml:space="preserve"> распределения наиболее точно (до миллиметров) соответствует форме мишени. При этом доза резко спадает за границами мишени, что позволяет проводить облучение ранее недоступных для лучевой терапии локализаций.</w:t>
      </w: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t xml:space="preserve">К моменту своего закрытия ИТЭФ являлся одним из крупнейших экспериментальных центров в мире по количеству пролеченных больных – 4300 по итогам 2011 года, что составило 5,6% от всех больных, пролеченных протонами к началу 2012 года. </w:t>
      </w: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t>Сейчас Россия имеет лишь 1 действующий протонный центр – в Дубне (в 1999 г. открыто радиологическое отделение МСЧ №9 г. Дубны). До 2012 года работали и 2 других, но ускоритель в ИТЭФ пострадал во время пожара и был остановлен, а Гатчинский центр протонной терапии закрылся из-за окончания срока лицензии и признания несоответствия параметров установки современным стандартам протонной терапии. Новых центров пока не открыто. Число пациентов, проходящих лечение в Дубне, невелико: за 2014 год таковых было всего 75 человек.</w:t>
      </w: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t xml:space="preserve">В 2010 году ФМБА начал многомиллиардный проект создания Федерального высокотехнологичного центра медицинской радиологии (ФВЦМР) в Димитровграде Ульяновской области. Ядром центра являются 4 кабины протонной терапии с одним циклотроном, которые должны быть оборудованы бельгийской компанией IBA </w:t>
      </w:r>
      <w:proofErr w:type="spellStart"/>
      <w:r w:rsidRPr="008973CC">
        <w:rPr>
          <w:rFonts w:ascii="Times New Roman" w:hAnsi="Times New Roman"/>
          <w:sz w:val="24"/>
          <w:szCs w:val="24"/>
        </w:rPr>
        <w:t>Proton</w:t>
      </w:r>
      <w:proofErr w:type="spellEnd"/>
      <w:r w:rsidRPr="008973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73CC">
        <w:rPr>
          <w:rFonts w:ascii="Times New Roman" w:hAnsi="Times New Roman"/>
          <w:sz w:val="24"/>
          <w:szCs w:val="24"/>
        </w:rPr>
        <w:t>Therapy</w:t>
      </w:r>
      <w:proofErr w:type="spellEnd"/>
      <w:r w:rsidRPr="008973CC">
        <w:rPr>
          <w:rFonts w:ascii="Times New Roman" w:hAnsi="Times New Roman"/>
          <w:sz w:val="24"/>
          <w:szCs w:val="24"/>
        </w:rPr>
        <w:t xml:space="preserve">; </w:t>
      </w:r>
      <w:proofErr w:type="gramStart"/>
      <w:r w:rsidRPr="008973CC">
        <w:rPr>
          <w:rFonts w:ascii="Times New Roman" w:hAnsi="Times New Roman"/>
          <w:sz w:val="24"/>
          <w:szCs w:val="24"/>
        </w:rPr>
        <w:t>заявлялось</w:t>
      </w:r>
      <w:proofErr w:type="gramEnd"/>
      <w:r w:rsidRPr="008973CC">
        <w:rPr>
          <w:rFonts w:ascii="Times New Roman" w:hAnsi="Times New Roman"/>
          <w:sz w:val="24"/>
          <w:szCs w:val="24"/>
        </w:rPr>
        <w:t xml:space="preserve"> также, что будут использованы и разработки российских специалистов. Изначально заявленная стоимость проекта составляла около 14 </w:t>
      </w:r>
      <w:proofErr w:type="gramStart"/>
      <w:r w:rsidRPr="008973CC">
        <w:rPr>
          <w:rFonts w:ascii="Times New Roman" w:hAnsi="Times New Roman"/>
          <w:sz w:val="24"/>
          <w:szCs w:val="24"/>
        </w:rPr>
        <w:t>млрд</w:t>
      </w:r>
      <w:proofErr w:type="gramEnd"/>
      <w:r w:rsidRPr="008973CC">
        <w:rPr>
          <w:rFonts w:ascii="Times New Roman" w:hAnsi="Times New Roman"/>
          <w:sz w:val="24"/>
          <w:szCs w:val="24"/>
        </w:rPr>
        <w:t xml:space="preserve"> руб., к 2014 году она увеличилась в два раза. Центр планировалось открыть в 2013 году, но пока запуск не состоялся.  </w:t>
      </w: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t xml:space="preserve">В 2012 году построен протонный центр в Протвино (при </w:t>
      </w:r>
      <w:proofErr w:type="spellStart"/>
      <w:r w:rsidRPr="008973CC">
        <w:rPr>
          <w:rFonts w:ascii="Times New Roman" w:hAnsi="Times New Roman"/>
          <w:sz w:val="24"/>
          <w:szCs w:val="24"/>
        </w:rPr>
        <w:t>Протвинской</w:t>
      </w:r>
      <w:proofErr w:type="spellEnd"/>
      <w:r w:rsidRPr="008973CC">
        <w:rPr>
          <w:rFonts w:ascii="Times New Roman" w:hAnsi="Times New Roman"/>
          <w:sz w:val="24"/>
          <w:szCs w:val="24"/>
        </w:rPr>
        <w:t xml:space="preserve"> городской больнице) с оборудованием полностью отечественной разработки (ЗАО «ПРОТОМ»), однако отсутствие поддержки и реформа здравоохранения с сопутствующей ей неразберихой в вопросах сертификации затянули процесс запуска центра. В настоящее </w:t>
      </w:r>
      <w:r w:rsidRPr="008973CC">
        <w:rPr>
          <w:rFonts w:ascii="Times New Roman" w:hAnsi="Times New Roman"/>
          <w:sz w:val="24"/>
          <w:szCs w:val="24"/>
        </w:rPr>
        <w:lastRenderedPageBreak/>
        <w:t xml:space="preserve">время начаты клинические испытания; запуск планируется в 2015 году. Кроме того, начато строительство аналогичного центра в Обнинске, на базе МРНЦ. </w:t>
      </w: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t>Подводя итог оценке опыта протонной терапии, можно констатировать, что если к 1990 году Россия аккумулировала около 30% мирового клинического опыта протонной терапии, что следует считать большим успехом, то к настоящему времени позиции существенно утеряны (менее 8%). Оставшийся в России функционирующий комплекс протонной терапии не выдерживает никакой конкуренции с зарубежными производителями, ни по техническим параметрам, ни по дизайну медицинских кабин. При этом себестоимость облучения на таких физических установках очень высока, что приводит к ограниченным временным интервалам работы этих установок на медицину и, как следствие, низкой пропускной способности.</w:t>
      </w:r>
    </w:p>
    <w:p w:rsidR="008973CC" w:rsidRPr="008973CC" w:rsidRDefault="008973CC" w:rsidP="008973C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73CC">
        <w:rPr>
          <w:rFonts w:ascii="Times New Roman" w:hAnsi="Times New Roman"/>
          <w:sz w:val="24"/>
          <w:szCs w:val="24"/>
        </w:rPr>
        <w:t>Таким образом, за последние четыре десятилетия в России не было введено в строй ни одного центра протонной терапии, тогда как в мире сейчас ежегодно открывается несколько таких центров. Заявленные и начатые проекты буксуют в том числе по административным причинам. В результате протонная терапия в России доступна мизерному количеству больных.</w:t>
      </w:r>
    </w:p>
    <w:p w:rsidR="008973CC" w:rsidRPr="008973CC" w:rsidRDefault="008973CC" w:rsidP="008973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7839" w:rsidRDefault="00537EA5">
      <w:bookmarkStart w:id="4" w:name="_GoBack"/>
      <w:bookmarkEnd w:id="4"/>
    </w:p>
    <w:sectPr w:rsidR="00ED7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EA5" w:rsidRDefault="00537EA5" w:rsidP="008973CC">
      <w:pPr>
        <w:spacing w:after="0" w:line="240" w:lineRule="auto"/>
      </w:pPr>
      <w:r>
        <w:separator/>
      </w:r>
    </w:p>
  </w:endnote>
  <w:endnote w:type="continuationSeparator" w:id="0">
    <w:p w:rsidR="00537EA5" w:rsidRDefault="00537EA5" w:rsidP="00897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EA5" w:rsidRDefault="00537EA5" w:rsidP="008973CC">
      <w:pPr>
        <w:spacing w:after="0" w:line="240" w:lineRule="auto"/>
      </w:pPr>
      <w:r>
        <w:separator/>
      </w:r>
    </w:p>
  </w:footnote>
  <w:footnote w:type="continuationSeparator" w:id="0">
    <w:p w:rsidR="00537EA5" w:rsidRDefault="00537EA5" w:rsidP="008973CC">
      <w:pPr>
        <w:spacing w:after="0" w:line="240" w:lineRule="auto"/>
      </w:pPr>
      <w:r>
        <w:continuationSeparator/>
      </w:r>
    </w:p>
  </w:footnote>
  <w:footnote w:id="1">
    <w:p w:rsidR="008973CC" w:rsidRDefault="008973CC" w:rsidP="008973CC">
      <w:pPr>
        <w:pStyle w:val="a6"/>
      </w:pPr>
      <w:r>
        <w:rPr>
          <w:rStyle w:val="a8"/>
        </w:rPr>
        <w:footnoteRef/>
      </w:r>
      <w:r>
        <w:t xml:space="preserve"> </w:t>
      </w:r>
      <w:proofErr w:type="spellStart"/>
      <w:r>
        <w:t>Адронная</w:t>
      </w:r>
      <w:proofErr w:type="spellEnd"/>
      <w:r>
        <w:t xml:space="preserve"> терапия – терапия с помощью частиц (протонов, легких и тяжелых ионов и пр.)</w:t>
      </w:r>
    </w:p>
  </w:footnote>
  <w:footnote w:id="2">
    <w:p w:rsidR="008973CC" w:rsidRPr="002A4D87" w:rsidRDefault="008973CC" w:rsidP="008973CC">
      <w:pPr>
        <w:pStyle w:val="a6"/>
        <w:rPr>
          <w:color w:val="0000FF"/>
          <w:u w:val="single"/>
        </w:rPr>
      </w:pPr>
      <w:r>
        <w:rPr>
          <w:rStyle w:val="a8"/>
        </w:rPr>
        <w:footnoteRef/>
      </w:r>
      <w:r>
        <w:t xml:space="preserve"> Источник: </w:t>
      </w:r>
      <w:r>
        <w:rPr>
          <w:lang w:val="en-US"/>
        </w:rPr>
        <w:t>PT</w:t>
      </w:r>
      <w:r>
        <w:t>С</w:t>
      </w:r>
      <w:r>
        <w:rPr>
          <w:lang w:val="en-US"/>
        </w:rPr>
        <w:t>OG</w:t>
      </w:r>
      <w:r w:rsidRPr="00A4615A">
        <w:t xml:space="preserve"> </w:t>
      </w:r>
      <w:hyperlink r:id="rId1" w:history="1">
        <w:r w:rsidRPr="00190906">
          <w:rPr>
            <w:rStyle w:val="a5"/>
            <w:lang w:val="en-US"/>
          </w:rPr>
          <w:t>http</w:t>
        </w:r>
        <w:r w:rsidRPr="00190906">
          <w:rPr>
            <w:rStyle w:val="a5"/>
          </w:rPr>
          <w:t>://</w:t>
        </w:r>
        <w:proofErr w:type="spellStart"/>
        <w:r w:rsidRPr="00190906">
          <w:rPr>
            <w:rStyle w:val="a5"/>
            <w:lang w:val="en-US"/>
          </w:rPr>
          <w:t>ptcog</w:t>
        </w:r>
        <w:proofErr w:type="spellEnd"/>
        <w:r w:rsidRPr="00190906">
          <w:rPr>
            <w:rStyle w:val="a5"/>
          </w:rPr>
          <w:t>.</w:t>
        </w:r>
        <w:proofErr w:type="spellStart"/>
        <w:r w:rsidRPr="00190906">
          <w:rPr>
            <w:rStyle w:val="a5"/>
            <w:lang w:val="en-US"/>
          </w:rPr>
          <w:t>ch</w:t>
        </w:r>
        <w:proofErr w:type="spellEnd"/>
        <w:r w:rsidRPr="00190906">
          <w:rPr>
            <w:rStyle w:val="a5"/>
          </w:rPr>
          <w:t>/</w:t>
        </w:r>
      </w:hyperlink>
      <w:r>
        <w:t>, а также данные о состоянии протонных центров в России</w:t>
      </w:r>
      <w:r w:rsidRPr="00A4615A">
        <w:t xml:space="preserve"> </w:t>
      </w:r>
    </w:p>
  </w:footnote>
  <w:footnote w:id="3">
    <w:p w:rsidR="008973CC" w:rsidRPr="002A4D87" w:rsidRDefault="008973CC" w:rsidP="008973CC">
      <w:pPr>
        <w:pStyle w:val="a6"/>
      </w:pPr>
      <w:r>
        <w:rPr>
          <w:rStyle w:val="a8"/>
        </w:rPr>
        <w:footnoteRef/>
      </w:r>
      <w:r>
        <w:t xml:space="preserve"> Источник: </w:t>
      </w:r>
      <w:r>
        <w:rPr>
          <w:lang w:val="en-US"/>
        </w:rPr>
        <w:t>PTCOG</w:t>
      </w:r>
    </w:p>
  </w:footnote>
  <w:footnote w:id="4">
    <w:p w:rsidR="008973CC" w:rsidRDefault="008973CC" w:rsidP="008973CC">
      <w:pPr>
        <w:pStyle w:val="a6"/>
      </w:pPr>
      <w:r>
        <w:rPr>
          <w:rStyle w:val="a8"/>
        </w:rPr>
        <w:footnoteRef/>
      </w:r>
      <w:r>
        <w:t xml:space="preserve"> Исследование </w:t>
      </w:r>
      <w:proofErr w:type="spellStart"/>
      <w:r w:rsidRPr="006D25D5">
        <w:t>MEDraysintell</w:t>
      </w:r>
      <w:proofErr w:type="spellEnd"/>
    </w:p>
  </w:footnote>
  <w:footnote w:id="5">
    <w:p w:rsidR="008973CC" w:rsidRDefault="008973CC" w:rsidP="008973CC">
      <w:pPr>
        <w:pStyle w:val="a6"/>
      </w:pPr>
      <w:r>
        <w:rPr>
          <w:rStyle w:val="a8"/>
        </w:rPr>
        <w:footnoteRef/>
      </w:r>
      <w:r>
        <w:t xml:space="preserve"> Анализ состояния и Концепция модернизации радиационной онкологии, ядерной медицины и медицинской физики в России. Размещено: </w:t>
      </w:r>
      <w:r w:rsidRPr="002711E7">
        <w:t>http://www.amphr.ru/</w:t>
      </w:r>
      <w:r>
        <w:t xml:space="preserve"> (Ассоциация медицинских физиков России)</w:t>
      </w:r>
    </w:p>
  </w:footnote>
  <w:footnote w:id="6">
    <w:p w:rsidR="008973CC" w:rsidRDefault="008973CC" w:rsidP="008973CC">
      <w:pPr>
        <w:pStyle w:val="a6"/>
      </w:pPr>
      <w:r>
        <w:rPr>
          <w:rStyle w:val="a8"/>
        </w:rPr>
        <w:footnoteRef/>
      </w:r>
      <w:r>
        <w:t xml:space="preserve"> По данным 2013 года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A2B98"/>
    <w:multiLevelType w:val="hybridMultilevel"/>
    <w:tmpl w:val="31BA21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6B070B7"/>
    <w:multiLevelType w:val="hybridMultilevel"/>
    <w:tmpl w:val="CD4EDB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3126B21"/>
    <w:multiLevelType w:val="hybridMultilevel"/>
    <w:tmpl w:val="0DB89814"/>
    <w:lvl w:ilvl="0" w:tplc="AEDEF3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5122E15"/>
    <w:multiLevelType w:val="hybridMultilevel"/>
    <w:tmpl w:val="185A9E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C1D5E36"/>
    <w:multiLevelType w:val="hybridMultilevel"/>
    <w:tmpl w:val="FA16AE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FDA22AE"/>
    <w:multiLevelType w:val="hybridMultilevel"/>
    <w:tmpl w:val="61BE0B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3CC"/>
    <w:rsid w:val="00054E3F"/>
    <w:rsid w:val="001911C3"/>
    <w:rsid w:val="00297BA2"/>
    <w:rsid w:val="00312740"/>
    <w:rsid w:val="0052157D"/>
    <w:rsid w:val="00537EA5"/>
    <w:rsid w:val="007C7D5E"/>
    <w:rsid w:val="00882FB5"/>
    <w:rsid w:val="008973CC"/>
    <w:rsid w:val="00A23B30"/>
    <w:rsid w:val="00AC67AB"/>
    <w:rsid w:val="00D6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3C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основной,ПАРАГРАФ,Абзац списка2"/>
    <w:basedOn w:val="a"/>
    <w:link w:val="a4"/>
    <w:uiPriority w:val="34"/>
    <w:qFormat/>
    <w:rsid w:val="008973CC"/>
    <w:pPr>
      <w:ind w:left="720"/>
      <w:contextualSpacing/>
    </w:pPr>
    <w:rPr>
      <w:lang w:eastAsia="en-US"/>
    </w:rPr>
  </w:style>
  <w:style w:type="character" w:customStyle="1" w:styleId="a4">
    <w:name w:val="Абзац списка Знак"/>
    <w:aliases w:val="Абзац списка основной Знак,ПАРАГРАФ Знак,Абзац списка2 Знак"/>
    <w:basedOn w:val="a0"/>
    <w:link w:val="a3"/>
    <w:uiPriority w:val="34"/>
    <w:locked/>
    <w:rsid w:val="008973CC"/>
    <w:rPr>
      <w:rFonts w:ascii="Calibri" w:eastAsia="Times New Roman" w:hAnsi="Calibri" w:cs="Times New Roman"/>
    </w:rPr>
  </w:style>
  <w:style w:type="character" w:styleId="a5">
    <w:name w:val="Hyperlink"/>
    <w:basedOn w:val="a0"/>
    <w:unhideWhenUsed/>
    <w:rsid w:val="008973CC"/>
    <w:rPr>
      <w:color w:val="0000FF" w:themeColor="hyperlink"/>
      <w:u w:val="single"/>
    </w:rPr>
  </w:style>
  <w:style w:type="paragraph" w:styleId="a6">
    <w:name w:val="footnote text"/>
    <w:aliases w:val="Table_Footnote_last,Table_Footnote_last Знак Знак Знак,Table_Footnote_last Знак,Текст сноски Знак1 Знак Знак,Текст сноски Знак Знак Знак Знак,Table_Footnote_last Знак1 Знак Знак,single space"/>
    <w:basedOn w:val="a"/>
    <w:link w:val="a7"/>
    <w:uiPriority w:val="99"/>
    <w:unhideWhenUsed/>
    <w:rsid w:val="008973CC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a7">
    <w:name w:val="Текст сноски Знак"/>
    <w:aliases w:val="Table_Footnote_last Знак1,Table_Footnote_last Знак Знак Знак Знак,Table_Footnote_last Знак Знак,Текст сноски Знак1 Знак Знак Знак,Текст сноски Знак Знак Знак Знак Знак,Table_Footnote_last Знак1 Знак Знак Знак,single space Знак"/>
    <w:basedOn w:val="a0"/>
    <w:link w:val="a6"/>
    <w:uiPriority w:val="99"/>
    <w:rsid w:val="008973CC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uiPriority w:val="99"/>
    <w:rsid w:val="008973CC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897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73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3C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основной,ПАРАГРАФ,Абзац списка2"/>
    <w:basedOn w:val="a"/>
    <w:link w:val="a4"/>
    <w:uiPriority w:val="34"/>
    <w:qFormat/>
    <w:rsid w:val="008973CC"/>
    <w:pPr>
      <w:ind w:left="720"/>
      <w:contextualSpacing/>
    </w:pPr>
    <w:rPr>
      <w:lang w:eastAsia="en-US"/>
    </w:rPr>
  </w:style>
  <w:style w:type="character" w:customStyle="1" w:styleId="a4">
    <w:name w:val="Абзац списка Знак"/>
    <w:aliases w:val="Абзац списка основной Знак,ПАРАГРАФ Знак,Абзац списка2 Знак"/>
    <w:basedOn w:val="a0"/>
    <w:link w:val="a3"/>
    <w:uiPriority w:val="34"/>
    <w:locked/>
    <w:rsid w:val="008973CC"/>
    <w:rPr>
      <w:rFonts w:ascii="Calibri" w:eastAsia="Times New Roman" w:hAnsi="Calibri" w:cs="Times New Roman"/>
    </w:rPr>
  </w:style>
  <w:style w:type="character" w:styleId="a5">
    <w:name w:val="Hyperlink"/>
    <w:basedOn w:val="a0"/>
    <w:unhideWhenUsed/>
    <w:rsid w:val="008973CC"/>
    <w:rPr>
      <w:color w:val="0000FF" w:themeColor="hyperlink"/>
      <w:u w:val="single"/>
    </w:rPr>
  </w:style>
  <w:style w:type="paragraph" w:styleId="a6">
    <w:name w:val="footnote text"/>
    <w:aliases w:val="Table_Footnote_last,Table_Footnote_last Знак Знак Знак,Table_Footnote_last Знак,Текст сноски Знак1 Знак Знак,Текст сноски Знак Знак Знак Знак,Table_Footnote_last Знак1 Знак Знак,single space"/>
    <w:basedOn w:val="a"/>
    <w:link w:val="a7"/>
    <w:uiPriority w:val="99"/>
    <w:unhideWhenUsed/>
    <w:rsid w:val="008973CC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a7">
    <w:name w:val="Текст сноски Знак"/>
    <w:aliases w:val="Table_Footnote_last Знак1,Table_Footnote_last Знак Знак Знак Знак,Table_Footnote_last Знак Знак,Текст сноски Знак1 Знак Знак Знак,Текст сноски Знак Знак Знак Знак Знак,Table_Footnote_last Знак1 Знак Знак Знак,single space Знак"/>
    <w:basedOn w:val="a0"/>
    <w:link w:val="a6"/>
    <w:uiPriority w:val="99"/>
    <w:rsid w:val="008973CC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uiPriority w:val="99"/>
    <w:rsid w:val="008973CC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897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73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ptcog.ch/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Лист1!$C$62</c:f>
              <c:strCache>
                <c:ptCount val="1"/>
                <c:pt idx="0">
                  <c:v>протон</c:v>
                </c:pt>
              </c:strCache>
            </c:strRef>
          </c:tx>
          <c:spPr>
            <a:solidFill>
              <a:srgbClr val="5B9BD5"/>
            </a:solidFill>
            <a:ln w="25363">
              <a:noFill/>
            </a:ln>
          </c:spPr>
          <c:invertIfNegative val="0"/>
          <c:dPt>
            <c:idx val="34"/>
            <c:invertIfNegative val="0"/>
            <c:bubble3D val="0"/>
            <c:spPr>
              <a:pattFill prst="wdUpDiag">
                <a:fgClr>
                  <a:schemeClr val="accent1"/>
                </a:fgClr>
                <a:bgClr>
                  <a:schemeClr val="bg1"/>
                </a:bgClr>
              </a:pattFill>
              <a:ln w="12681">
                <a:solidFill>
                  <a:schemeClr val="accent1"/>
                </a:solidFill>
              </a:ln>
              <a:effectLst/>
            </c:spPr>
          </c:dPt>
          <c:dPt>
            <c:idx val="35"/>
            <c:invertIfNegative val="0"/>
            <c:bubble3D val="0"/>
            <c:spPr>
              <a:pattFill prst="wdUpDiag">
                <a:fgClr>
                  <a:schemeClr val="accent1"/>
                </a:fgClr>
                <a:bgClr>
                  <a:schemeClr val="bg1"/>
                </a:bgClr>
              </a:pattFill>
              <a:ln w="12681">
                <a:solidFill>
                  <a:schemeClr val="accent1"/>
                </a:solidFill>
              </a:ln>
              <a:effectLst/>
            </c:spPr>
          </c:dPt>
          <c:dPt>
            <c:idx val="37"/>
            <c:invertIfNegative val="0"/>
            <c:bubble3D val="0"/>
            <c:spPr>
              <a:pattFill prst="wdUpDiag">
                <a:fgClr>
                  <a:schemeClr val="accent1"/>
                </a:fgClr>
                <a:bgClr>
                  <a:schemeClr val="bg1"/>
                </a:bgClr>
              </a:pattFill>
              <a:ln w="12681">
                <a:solidFill>
                  <a:schemeClr val="accent1"/>
                </a:solidFill>
              </a:ln>
              <a:effectLst/>
            </c:spPr>
          </c:dPt>
          <c:cat>
            <c:numRef>
              <c:f>Лист1!$A$63:$A$100</c:f>
              <c:numCache>
                <c:formatCode>General</c:formatCode>
                <c:ptCount val="38"/>
                <c:pt idx="0">
                  <c:v>1954</c:v>
                </c:pt>
                <c:pt idx="1">
                  <c:v>1957</c:v>
                </c:pt>
                <c:pt idx="2">
                  <c:v>1961</c:v>
                </c:pt>
                <c:pt idx="3">
                  <c:v>1967</c:v>
                </c:pt>
                <c:pt idx="4">
                  <c:v>1969</c:v>
                </c:pt>
                <c:pt idx="5">
                  <c:v>1974</c:v>
                </c:pt>
                <c:pt idx="6">
                  <c:v>1975</c:v>
                </c:pt>
                <c:pt idx="7">
                  <c:v>1979</c:v>
                </c:pt>
                <c:pt idx="8">
                  <c:v>1980</c:v>
                </c:pt>
                <c:pt idx="9">
                  <c:v>1983</c:v>
                </c:pt>
                <c:pt idx="10">
                  <c:v>1984</c:v>
                </c:pt>
                <c:pt idx="11">
                  <c:v>1989</c:v>
                </c:pt>
                <c:pt idx="12">
                  <c:v>1990</c:v>
                </c:pt>
                <c:pt idx="13">
                  <c:v>1991</c:v>
                </c:pt>
                <c:pt idx="14">
                  <c:v>1993</c:v>
                </c:pt>
                <c:pt idx="15">
                  <c:v>1994</c:v>
                </c:pt>
                <c:pt idx="16">
                  <c:v>1995</c:v>
                </c:pt>
                <c:pt idx="17">
                  <c:v>1996</c:v>
                </c:pt>
                <c:pt idx="18">
                  <c:v>1997</c:v>
                </c:pt>
                <c:pt idx="19">
                  <c:v>1998</c:v>
                </c:pt>
                <c:pt idx="20">
                  <c:v>1999</c:v>
                </c:pt>
                <c:pt idx="21">
                  <c:v>2001</c:v>
                </c:pt>
                <c:pt idx="22">
                  <c:v>2002</c:v>
                </c:pt>
                <c:pt idx="23">
                  <c:v>2003</c:v>
                </c:pt>
                <c:pt idx="24">
                  <c:v>2004</c:v>
                </c:pt>
                <c:pt idx="25">
                  <c:v>2006</c:v>
                </c:pt>
                <c:pt idx="26">
                  <c:v>2007</c:v>
                </c:pt>
                <c:pt idx="27">
                  <c:v>2008</c:v>
                </c:pt>
                <c:pt idx="28">
                  <c:v>2009</c:v>
                </c:pt>
                <c:pt idx="29">
                  <c:v>2010</c:v>
                </c:pt>
                <c:pt idx="30">
                  <c:v>2011</c:v>
                </c:pt>
                <c:pt idx="31">
                  <c:v>2012</c:v>
                </c:pt>
                <c:pt idx="32">
                  <c:v>2013</c:v>
                </c:pt>
                <c:pt idx="33">
                  <c:v>2014</c:v>
                </c:pt>
                <c:pt idx="34">
                  <c:v>2015</c:v>
                </c:pt>
                <c:pt idx="35">
                  <c:v>2016</c:v>
                </c:pt>
                <c:pt idx="36">
                  <c:v>2017</c:v>
                </c:pt>
                <c:pt idx="37">
                  <c:v>2018</c:v>
                </c:pt>
              </c:numCache>
            </c:numRef>
          </c:cat>
          <c:val>
            <c:numRef>
              <c:f>Лист1!$C$63:$C$100</c:f>
              <c:numCache>
                <c:formatCode>General</c:formatCode>
                <c:ptCount val="38"/>
                <c:pt idx="0">
                  <c:v>1</c:v>
                </c:pt>
                <c:pt idx="1">
                  <c:v>2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6">
                  <c:v>1</c:v>
                </c:pt>
                <c:pt idx="7">
                  <c:v>1</c:v>
                </c:pt>
                <c:pt idx="9">
                  <c:v>1</c:v>
                </c:pt>
                <c:pt idx="10">
                  <c:v>1</c:v>
                </c:pt>
                <c:pt idx="11">
                  <c:v>2</c:v>
                </c:pt>
                <c:pt idx="12">
                  <c:v>1</c:v>
                </c:pt>
                <c:pt idx="13">
                  <c:v>3</c:v>
                </c:pt>
                <c:pt idx="14">
                  <c:v>2</c:v>
                </c:pt>
                <c:pt idx="15">
                  <c:v>1</c:v>
                </c:pt>
                <c:pt idx="16">
                  <c:v>1</c:v>
                </c:pt>
                <c:pt idx="17">
                  <c:v>1</c:v>
                </c:pt>
                <c:pt idx="19">
                  <c:v>2</c:v>
                </c:pt>
                <c:pt idx="20">
                  <c:v>1</c:v>
                </c:pt>
                <c:pt idx="21">
                  <c:v>3</c:v>
                </c:pt>
                <c:pt idx="22">
                  <c:v>2</c:v>
                </c:pt>
                <c:pt idx="23">
                  <c:v>1</c:v>
                </c:pt>
                <c:pt idx="24">
                  <c:v>2</c:v>
                </c:pt>
                <c:pt idx="25">
                  <c:v>2</c:v>
                </c:pt>
                <c:pt idx="26">
                  <c:v>1</c:v>
                </c:pt>
                <c:pt idx="27">
                  <c:v>1</c:v>
                </c:pt>
                <c:pt idx="28">
                  <c:v>3</c:v>
                </c:pt>
                <c:pt idx="29">
                  <c:v>3</c:v>
                </c:pt>
                <c:pt idx="30">
                  <c:v>4</c:v>
                </c:pt>
                <c:pt idx="31">
                  <c:v>2</c:v>
                </c:pt>
                <c:pt idx="32">
                  <c:v>5</c:v>
                </c:pt>
                <c:pt idx="33">
                  <c:v>6</c:v>
                </c:pt>
                <c:pt idx="34">
                  <c:v>18</c:v>
                </c:pt>
                <c:pt idx="35">
                  <c:v>8</c:v>
                </c:pt>
                <c:pt idx="37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Лист1!$D$62</c:f>
              <c:strCache>
                <c:ptCount val="1"/>
                <c:pt idx="0">
                  <c:v>ион</c:v>
                </c:pt>
              </c:strCache>
            </c:strRef>
          </c:tx>
          <c:spPr>
            <a:solidFill>
              <a:srgbClr val="ED7D31"/>
            </a:solidFill>
            <a:ln w="25363">
              <a:noFill/>
            </a:ln>
          </c:spPr>
          <c:invertIfNegative val="0"/>
          <c:dPt>
            <c:idx val="34"/>
            <c:invertIfNegative val="0"/>
            <c:bubble3D val="0"/>
            <c:spPr>
              <a:pattFill prst="wdUpDiag">
                <a:fgClr>
                  <a:schemeClr val="accent2"/>
                </a:fgClr>
                <a:bgClr>
                  <a:schemeClr val="bg1"/>
                </a:bgClr>
              </a:pattFill>
              <a:ln w="12681">
                <a:solidFill>
                  <a:schemeClr val="accent2"/>
                </a:solidFill>
              </a:ln>
              <a:effectLst/>
            </c:spPr>
          </c:dPt>
          <c:dPt>
            <c:idx val="35"/>
            <c:invertIfNegative val="0"/>
            <c:bubble3D val="0"/>
            <c:spPr>
              <a:pattFill prst="wdUpDiag">
                <a:fgClr>
                  <a:schemeClr val="accent2"/>
                </a:fgClr>
                <a:bgClr>
                  <a:schemeClr val="bg1"/>
                </a:bgClr>
              </a:pattFill>
              <a:ln w="12681">
                <a:solidFill>
                  <a:schemeClr val="accent2"/>
                </a:solidFill>
              </a:ln>
              <a:effectLst/>
            </c:spPr>
          </c:dPt>
          <c:cat>
            <c:numRef>
              <c:f>Лист1!$A$63:$A$100</c:f>
              <c:numCache>
                <c:formatCode>General</c:formatCode>
                <c:ptCount val="38"/>
                <c:pt idx="0">
                  <c:v>1954</c:v>
                </c:pt>
                <c:pt idx="1">
                  <c:v>1957</c:v>
                </c:pt>
                <c:pt idx="2">
                  <c:v>1961</c:v>
                </c:pt>
                <c:pt idx="3">
                  <c:v>1967</c:v>
                </c:pt>
                <c:pt idx="4">
                  <c:v>1969</c:v>
                </c:pt>
                <c:pt idx="5">
                  <c:v>1974</c:v>
                </c:pt>
                <c:pt idx="6">
                  <c:v>1975</c:v>
                </c:pt>
                <c:pt idx="7">
                  <c:v>1979</c:v>
                </c:pt>
                <c:pt idx="8">
                  <c:v>1980</c:v>
                </c:pt>
                <c:pt idx="9">
                  <c:v>1983</c:v>
                </c:pt>
                <c:pt idx="10">
                  <c:v>1984</c:v>
                </c:pt>
                <c:pt idx="11">
                  <c:v>1989</c:v>
                </c:pt>
                <c:pt idx="12">
                  <c:v>1990</c:v>
                </c:pt>
                <c:pt idx="13">
                  <c:v>1991</c:v>
                </c:pt>
                <c:pt idx="14">
                  <c:v>1993</c:v>
                </c:pt>
                <c:pt idx="15">
                  <c:v>1994</c:v>
                </c:pt>
                <c:pt idx="16">
                  <c:v>1995</c:v>
                </c:pt>
                <c:pt idx="17">
                  <c:v>1996</c:v>
                </c:pt>
                <c:pt idx="18">
                  <c:v>1997</c:v>
                </c:pt>
                <c:pt idx="19">
                  <c:v>1998</c:v>
                </c:pt>
                <c:pt idx="20">
                  <c:v>1999</c:v>
                </c:pt>
                <c:pt idx="21">
                  <c:v>2001</c:v>
                </c:pt>
                <c:pt idx="22">
                  <c:v>2002</c:v>
                </c:pt>
                <c:pt idx="23">
                  <c:v>2003</c:v>
                </c:pt>
                <c:pt idx="24">
                  <c:v>2004</c:v>
                </c:pt>
                <c:pt idx="25">
                  <c:v>2006</c:v>
                </c:pt>
                <c:pt idx="26">
                  <c:v>2007</c:v>
                </c:pt>
                <c:pt idx="27">
                  <c:v>2008</c:v>
                </c:pt>
                <c:pt idx="28">
                  <c:v>2009</c:v>
                </c:pt>
                <c:pt idx="29">
                  <c:v>2010</c:v>
                </c:pt>
                <c:pt idx="30">
                  <c:v>2011</c:v>
                </c:pt>
                <c:pt idx="31">
                  <c:v>2012</c:v>
                </c:pt>
                <c:pt idx="32">
                  <c:v>2013</c:v>
                </c:pt>
                <c:pt idx="33">
                  <c:v>2014</c:v>
                </c:pt>
                <c:pt idx="34">
                  <c:v>2015</c:v>
                </c:pt>
                <c:pt idx="35">
                  <c:v>2016</c:v>
                </c:pt>
                <c:pt idx="36">
                  <c:v>2017</c:v>
                </c:pt>
                <c:pt idx="37">
                  <c:v>2018</c:v>
                </c:pt>
              </c:numCache>
            </c:numRef>
          </c:cat>
          <c:val>
            <c:numRef>
              <c:f>Лист1!$D$63:$D$100</c:f>
              <c:numCache>
                <c:formatCode>General</c:formatCode>
                <c:ptCount val="38"/>
                <c:pt idx="6">
                  <c:v>1</c:v>
                </c:pt>
                <c:pt idx="15">
                  <c:v>1</c:v>
                </c:pt>
                <c:pt idx="18">
                  <c:v>1</c:v>
                </c:pt>
                <c:pt idx="22">
                  <c:v>1</c:v>
                </c:pt>
                <c:pt idx="25">
                  <c:v>1</c:v>
                </c:pt>
                <c:pt idx="28">
                  <c:v>1</c:v>
                </c:pt>
                <c:pt idx="29">
                  <c:v>1</c:v>
                </c:pt>
                <c:pt idx="31">
                  <c:v>1</c:v>
                </c:pt>
                <c:pt idx="32">
                  <c:v>1</c:v>
                </c:pt>
                <c:pt idx="33">
                  <c:v>1</c:v>
                </c:pt>
                <c:pt idx="34">
                  <c:v>1</c:v>
                </c:pt>
                <c:pt idx="35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Лист1!$E$62</c:f>
              <c:strCache>
                <c:ptCount val="1"/>
                <c:pt idx="0">
                  <c:v>другое</c:v>
                </c:pt>
              </c:strCache>
            </c:strRef>
          </c:tx>
          <c:spPr>
            <a:solidFill>
              <a:srgbClr val="A5A5A5"/>
            </a:solidFill>
            <a:ln w="25363">
              <a:noFill/>
            </a:ln>
          </c:spPr>
          <c:invertIfNegative val="0"/>
          <c:cat>
            <c:numRef>
              <c:f>Лист1!$A$63:$A$100</c:f>
              <c:numCache>
                <c:formatCode>General</c:formatCode>
                <c:ptCount val="38"/>
                <c:pt idx="0">
                  <c:v>1954</c:v>
                </c:pt>
                <c:pt idx="1">
                  <c:v>1957</c:v>
                </c:pt>
                <c:pt idx="2">
                  <c:v>1961</c:v>
                </c:pt>
                <c:pt idx="3">
                  <c:v>1967</c:v>
                </c:pt>
                <c:pt idx="4">
                  <c:v>1969</c:v>
                </c:pt>
                <c:pt idx="5">
                  <c:v>1974</c:v>
                </c:pt>
                <c:pt idx="6">
                  <c:v>1975</c:v>
                </c:pt>
                <c:pt idx="7">
                  <c:v>1979</c:v>
                </c:pt>
                <c:pt idx="8">
                  <c:v>1980</c:v>
                </c:pt>
                <c:pt idx="9">
                  <c:v>1983</c:v>
                </c:pt>
                <c:pt idx="10">
                  <c:v>1984</c:v>
                </c:pt>
                <c:pt idx="11">
                  <c:v>1989</c:v>
                </c:pt>
                <c:pt idx="12">
                  <c:v>1990</c:v>
                </c:pt>
                <c:pt idx="13">
                  <c:v>1991</c:v>
                </c:pt>
                <c:pt idx="14">
                  <c:v>1993</c:v>
                </c:pt>
                <c:pt idx="15">
                  <c:v>1994</c:v>
                </c:pt>
                <c:pt idx="16">
                  <c:v>1995</c:v>
                </c:pt>
                <c:pt idx="17">
                  <c:v>1996</c:v>
                </c:pt>
                <c:pt idx="18">
                  <c:v>1997</c:v>
                </c:pt>
                <c:pt idx="19">
                  <c:v>1998</c:v>
                </c:pt>
                <c:pt idx="20">
                  <c:v>1999</c:v>
                </c:pt>
                <c:pt idx="21">
                  <c:v>2001</c:v>
                </c:pt>
                <c:pt idx="22">
                  <c:v>2002</c:v>
                </c:pt>
                <c:pt idx="23">
                  <c:v>2003</c:v>
                </c:pt>
                <c:pt idx="24">
                  <c:v>2004</c:v>
                </c:pt>
                <c:pt idx="25">
                  <c:v>2006</c:v>
                </c:pt>
                <c:pt idx="26">
                  <c:v>2007</c:v>
                </c:pt>
                <c:pt idx="27">
                  <c:v>2008</c:v>
                </c:pt>
                <c:pt idx="28">
                  <c:v>2009</c:v>
                </c:pt>
                <c:pt idx="29">
                  <c:v>2010</c:v>
                </c:pt>
                <c:pt idx="30">
                  <c:v>2011</c:v>
                </c:pt>
                <c:pt idx="31">
                  <c:v>2012</c:v>
                </c:pt>
                <c:pt idx="32">
                  <c:v>2013</c:v>
                </c:pt>
                <c:pt idx="33">
                  <c:v>2014</c:v>
                </c:pt>
                <c:pt idx="34">
                  <c:v>2015</c:v>
                </c:pt>
                <c:pt idx="35">
                  <c:v>2016</c:v>
                </c:pt>
                <c:pt idx="36">
                  <c:v>2017</c:v>
                </c:pt>
                <c:pt idx="37">
                  <c:v>2018</c:v>
                </c:pt>
              </c:numCache>
            </c:numRef>
          </c:cat>
          <c:val>
            <c:numRef>
              <c:f>Лист1!$E$63:$E$100</c:f>
              <c:numCache>
                <c:formatCode>General</c:formatCode>
                <c:ptCount val="38"/>
                <c:pt idx="5">
                  <c:v>1</c:v>
                </c:pt>
                <c:pt idx="7">
                  <c:v>1</c:v>
                </c:pt>
                <c:pt idx="8">
                  <c:v>1</c:v>
                </c:pt>
              </c:numCache>
            </c:numRef>
          </c:val>
        </c:ser>
        <c:ser>
          <c:idx val="3"/>
          <c:order val="3"/>
          <c:tx>
            <c:strRef>
              <c:f>Лист1!$F$62</c:f>
              <c:strCache>
                <c:ptCount val="1"/>
                <c:pt idx="0">
                  <c:v>в стадии проекта</c:v>
                </c:pt>
              </c:strCache>
            </c:strRef>
          </c:tx>
          <c:spPr>
            <a:solidFill>
              <a:srgbClr val="FFC000"/>
            </a:solidFill>
            <a:ln w="25363">
              <a:noFill/>
            </a:ln>
          </c:spPr>
          <c:invertIfNegative val="0"/>
          <c:dPt>
            <c:idx val="35"/>
            <c:invertIfNegative val="0"/>
            <c:bubble3D val="0"/>
            <c:spPr>
              <a:pattFill prst="dkHorz">
                <a:fgClr>
                  <a:srgbClr val="FFC000"/>
                </a:fgClr>
                <a:bgClr>
                  <a:sysClr val="window" lastClr="FFFFFF"/>
                </a:bgClr>
              </a:pattFill>
              <a:ln w="12681">
                <a:solidFill>
                  <a:srgbClr val="FFC000"/>
                </a:solidFill>
              </a:ln>
              <a:effectLst/>
            </c:spPr>
          </c:dPt>
          <c:dPt>
            <c:idx val="36"/>
            <c:invertIfNegative val="0"/>
            <c:bubble3D val="0"/>
            <c:spPr>
              <a:pattFill prst="dkHorz">
                <a:fgClr>
                  <a:srgbClr val="FFC000"/>
                </a:fgClr>
                <a:bgClr>
                  <a:sysClr val="window" lastClr="FFFFFF"/>
                </a:bgClr>
              </a:pattFill>
              <a:ln w="12681">
                <a:solidFill>
                  <a:srgbClr val="FFC000"/>
                </a:solidFill>
              </a:ln>
              <a:effectLst/>
            </c:spPr>
          </c:dPt>
          <c:dPt>
            <c:idx val="37"/>
            <c:invertIfNegative val="0"/>
            <c:bubble3D val="0"/>
            <c:spPr>
              <a:pattFill prst="dkHorz">
                <a:fgClr>
                  <a:srgbClr val="FFC000"/>
                </a:fgClr>
                <a:bgClr>
                  <a:sysClr val="window" lastClr="FFFFFF"/>
                </a:bgClr>
              </a:pattFill>
              <a:ln w="12681">
                <a:solidFill>
                  <a:srgbClr val="FFC000"/>
                </a:solidFill>
              </a:ln>
              <a:effectLst/>
            </c:spPr>
          </c:dPt>
          <c:cat>
            <c:numRef>
              <c:f>Лист1!$A$63:$A$100</c:f>
              <c:numCache>
                <c:formatCode>General</c:formatCode>
                <c:ptCount val="38"/>
                <c:pt idx="0">
                  <c:v>1954</c:v>
                </c:pt>
                <c:pt idx="1">
                  <c:v>1957</c:v>
                </c:pt>
                <c:pt idx="2">
                  <c:v>1961</c:v>
                </c:pt>
                <c:pt idx="3">
                  <c:v>1967</c:v>
                </c:pt>
                <c:pt idx="4">
                  <c:v>1969</c:v>
                </c:pt>
                <c:pt idx="5">
                  <c:v>1974</c:v>
                </c:pt>
                <c:pt idx="6">
                  <c:v>1975</c:v>
                </c:pt>
                <c:pt idx="7">
                  <c:v>1979</c:v>
                </c:pt>
                <c:pt idx="8">
                  <c:v>1980</c:v>
                </c:pt>
                <c:pt idx="9">
                  <c:v>1983</c:v>
                </c:pt>
                <c:pt idx="10">
                  <c:v>1984</c:v>
                </c:pt>
                <c:pt idx="11">
                  <c:v>1989</c:v>
                </c:pt>
                <c:pt idx="12">
                  <c:v>1990</c:v>
                </c:pt>
                <c:pt idx="13">
                  <c:v>1991</c:v>
                </c:pt>
                <c:pt idx="14">
                  <c:v>1993</c:v>
                </c:pt>
                <c:pt idx="15">
                  <c:v>1994</c:v>
                </c:pt>
                <c:pt idx="16">
                  <c:v>1995</c:v>
                </c:pt>
                <c:pt idx="17">
                  <c:v>1996</c:v>
                </c:pt>
                <c:pt idx="18">
                  <c:v>1997</c:v>
                </c:pt>
                <c:pt idx="19">
                  <c:v>1998</c:v>
                </c:pt>
                <c:pt idx="20">
                  <c:v>1999</c:v>
                </c:pt>
                <c:pt idx="21">
                  <c:v>2001</c:v>
                </c:pt>
                <c:pt idx="22">
                  <c:v>2002</c:v>
                </c:pt>
                <c:pt idx="23">
                  <c:v>2003</c:v>
                </c:pt>
                <c:pt idx="24">
                  <c:v>2004</c:v>
                </c:pt>
                <c:pt idx="25">
                  <c:v>2006</c:v>
                </c:pt>
                <c:pt idx="26">
                  <c:v>2007</c:v>
                </c:pt>
                <c:pt idx="27">
                  <c:v>2008</c:v>
                </c:pt>
                <c:pt idx="28">
                  <c:v>2009</c:v>
                </c:pt>
                <c:pt idx="29">
                  <c:v>2010</c:v>
                </c:pt>
                <c:pt idx="30">
                  <c:v>2011</c:v>
                </c:pt>
                <c:pt idx="31">
                  <c:v>2012</c:v>
                </c:pt>
                <c:pt idx="32">
                  <c:v>2013</c:v>
                </c:pt>
                <c:pt idx="33">
                  <c:v>2014</c:v>
                </c:pt>
                <c:pt idx="34">
                  <c:v>2015</c:v>
                </c:pt>
                <c:pt idx="35">
                  <c:v>2016</c:v>
                </c:pt>
                <c:pt idx="36">
                  <c:v>2017</c:v>
                </c:pt>
                <c:pt idx="37">
                  <c:v>2018</c:v>
                </c:pt>
              </c:numCache>
            </c:numRef>
          </c:cat>
          <c:val>
            <c:numRef>
              <c:f>Лист1!$F$63:$F$100</c:f>
              <c:numCache>
                <c:formatCode>General</c:formatCode>
                <c:ptCount val="38"/>
                <c:pt idx="35">
                  <c:v>2</c:v>
                </c:pt>
                <c:pt idx="36">
                  <c:v>7</c:v>
                </c:pt>
                <c:pt idx="37">
                  <c:v>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596964096"/>
        <c:axId val="596965632"/>
      </c:barChart>
      <c:catAx>
        <c:axId val="5969640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1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99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96965632"/>
        <c:crosses val="autoZero"/>
        <c:auto val="1"/>
        <c:lblAlgn val="ctr"/>
        <c:lblOffset val="100"/>
        <c:noMultiLvlLbl val="0"/>
      </c:catAx>
      <c:valAx>
        <c:axId val="596965632"/>
        <c:scaling>
          <c:orientation val="minMax"/>
        </c:scaling>
        <c:delete val="0"/>
        <c:axPos val="l"/>
        <c:majorGridlines>
          <c:spPr>
            <a:ln w="9510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ln w="6341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899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96964096"/>
        <c:crosses val="autoZero"/>
        <c:crossBetween val="between"/>
      </c:valAx>
      <c:spPr>
        <a:noFill/>
        <a:ln w="25363">
          <a:noFill/>
        </a:ln>
      </c:spPr>
    </c:plotArea>
    <c:legend>
      <c:legendPos val="b"/>
      <c:overlay val="0"/>
      <c:spPr>
        <a:noFill/>
        <a:ln w="25363">
          <a:noFill/>
        </a:ln>
      </c:spPr>
      <c:txPr>
        <a:bodyPr rot="0" spcFirstLastPara="1" vertOverflow="ellipsis" vert="horz" wrap="square" anchor="ctr" anchorCtr="1"/>
        <a:lstStyle/>
        <a:p>
          <a:pPr>
            <a:defRPr sz="899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10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198" b="1" i="0" u="none" strike="noStrike" kern="1200" cap="all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98"/>
              <a:t>Действующие центры</a:t>
            </a:r>
          </a:p>
        </c:rich>
      </c:tx>
      <c:overlay val="0"/>
      <c:spPr>
        <a:noFill/>
        <a:ln w="25378">
          <a:noFill/>
        </a:ln>
      </c:sp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1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2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3"/>
            <c:bubble3D val="0"/>
            <c:spPr>
              <a:solidFill>
                <a:schemeClr val="accent6">
                  <a:lumMod val="60000"/>
                </a:schemeClr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4"/>
            <c:bubble3D val="0"/>
            <c:spPr>
              <a:solidFill>
                <a:schemeClr val="accent5">
                  <a:lumMod val="60000"/>
                </a:schemeClr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5"/>
            <c:bubble3D val="0"/>
            <c:spPr>
              <a:solidFill>
                <a:schemeClr val="accent4">
                  <a:lumMod val="60000"/>
                </a:schemeClr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6"/>
            <c:bubble3D val="0"/>
            <c:spPr>
              <a:solidFill>
                <a:schemeClr val="accent6">
                  <a:lumMod val="80000"/>
                  <a:lumOff val="20000"/>
                </a:schemeClr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7"/>
            <c:bubble3D val="0"/>
            <c:spPr>
              <a:solidFill>
                <a:schemeClr val="accent5">
                  <a:lumMod val="80000"/>
                  <a:lumOff val="20000"/>
                </a:schemeClr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8"/>
            <c:bubble3D val="0"/>
            <c:spPr>
              <a:solidFill>
                <a:schemeClr val="accent4">
                  <a:lumMod val="80000"/>
                  <a:lumOff val="20000"/>
                </a:schemeClr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9"/>
            <c:bubble3D val="0"/>
            <c:spPr>
              <a:solidFill>
                <a:schemeClr val="accent6">
                  <a:lumMod val="80000"/>
                </a:schemeClr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10"/>
            <c:bubble3D val="0"/>
            <c:spPr>
              <a:solidFill>
                <a:schemeClr val="accent5">
                  <a:lumMod val="80000"/>
                </a:schemeClr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Lbls>
            <c:dLbl>
              <c:idx val="0"/>
              <c:spPr>
                <a:noFill/>
                <a:ln w="25378">
                  <a:noFill/>
                </a:ln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98" b="1" i="0" u="none" strike="noStrike" kern="1200" spc="0" baseline="0">
                      <a:solidFill>
                        <a:schemeClr val="accent6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spPr>
                <a:noFill/>
                <a:ln w="25378">
                  <a:noFill/>
                </a:ln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98" b="1" i="0" u="none" strike="noStrike" kern="1200" spc="0" baseline="0">
                      <a:solidFill>
                        <a:schemeClr val="accent5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spPr>
                <a:noFill/>
                <a:ln w="25378">
                  <a:noFill/>
                </a:ln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98" b="1" i="0" u="none" strike="noStrike" kern="1200" spc="0" baseline="0">
                      <a:solidFill>
                        <a:schemeClr val="accent4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5.7738348525982613E-2"/>
                  <c:y val="-2.2971427259362562E-2"/>
                </c:manualLayout>
              </c:layout>
              <c:spPr>
                <a:noFill/>
                <a:ln w="25378">
                  <a:noFill/>
                </a:ln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98" b="1" i="0" u="none" strike="noStrike" kern="1200" spc="0" baseline="0">
                      <a:solidFill>
                        <a:schemeClr val="accent4">
                          <a:lumMod val="60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1.6725982958671906E-2"/>
                  <c:y val="-3.1650139670289898E-3"/>
                </c:manualLayout>
              </c:layout>
              <c:spPr>
                <a:noFill/>
                <a:ln w="25378">
                  <a:noFill/>
                </a:ln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98" b="1" i="0" u="none" strike="noStrike" kern="1200" spc="0" baseline="0">
                      <a:solidFill>
                        <a:schemeClr val="accent6">
                          <a:lumMod val="80000"/>
                          <a:lumOff val="20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</c:extLst>
            </c:dLbl>
            <c:dLbl>
              <c:idx val="7"/>
              <c:layout>
                <c:manualLayout>
                  <c:x val="-7.496619173253502E-2"/>
                  <c:y val="6.0191459779609026E-2"/>
                </c:manualLayout>
              </c:layout>
              <c:spPr>
                <a:noFill/>
                <a:ln w="25378">
                  <a:noFill/>
                </a:ln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98" b="1" i="0" u="none" strike="noStrike" kern="1200" spc="0" baseline="0">
                      <a:solidFill>
                        <a:schemeClr val="accent5">
                          <a:lumMod val="80000"/>
                          <a:lumOff val="20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spPr>
                <a:noFill/>
                <a:ln w="25378">
                  <a:noFill/>
                </a:ln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98" b="1" i="0" u="none" strike="noStrike" kern="1200" spc="0" baseline="0">
                      <a:solidFill>
                        <a:schemeClr val="accent6">
                          <a:lumMod val="80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0"/>
              <c:spPr>
                <a:noFill/>
                <a:ln w="25378">
                  <a:noFill/>
                </a:ln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98" b="1" i="0" u="none" strike="noStrike" kern="1200" spc="0" baseline="0">
                      <a:solidFill>
                        <a:schemeClr val="accent5">
                          <a:lumMod val="80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1"/>
              <c:showSerName val="0"/>
              <c:showPercent val="0"/>
              <c:showBubbleSize val="0"/>
            </c:dLbl>
            <c:spPr>
              <a:noFill/>
              <a:ln w="25378">
                <a:noFill/>
              </a:ln>
            </c:spPr>
            <c:dLblPos val="outEnd"/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leaderLines>
              <c:spPr>
                <a:ln w="9510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Лист1!$A$62:$A$72</c:f>
              <c:strCache>
                <c:ptCount val="11"/>
                <c:pt idx="0">
                  <c:v>Канада</c:v>
                </c:pt>
                <c:pt idx="1">
                  <c:v>Китай</c:v>
                </c:pt>
                <c:pt idx="2">
                  <c:v>Япония</c:v>
                </c:pt>
                <c:pt idx="3">
                  <c:v>Индия</c:v>
                </c:pt>
                <c:pt idx="4">
                  <c:v>Тайвань</c:v>
                </c:pt>
                <c:pt idx="5">
                  <c:v>Россия</c:v>
                </c:pt>
                <c:pt idx="6">
                  <c:v>Южная Африка</c:v>
                </c:pt>
                <c:pt idx="7">
                  <c:v>Южная Корея</c:v>
                </c:pt>
                <c:pt idx="8">
                  <c:v>Саудовская Аравия</c:v>
                </c:pt>
                <c:pt idx="9">
                  <c:v>США</c:v>
                </c:pt>
                <c:pt idx="10">
                  <c:v>Европа</c:v>
                </c:pt>
              </c:strCache>
            </c:strRef>
          </c:cat>
          <c:val>
            <c:numRef>
              <c:f>Лист1!$D$62:$D$72</c:f>
              <c:numCache>
                <c:formatCode>General</c:formatCode>
                <c:ptCount val="11"/>
                <c:pt idx="0">
                  <c:v>1</c:v>
                </c:pt>
                <c:pt idx="1">
                  <c:v>4</c:v>
                </c:pt>
                <c:pt idx="2">
                  <c:v>13</c:v>
                </c:pt>
                <c:pt idx="3">
                  <c:v>0</c:v>
                </c:pt>
                <c:pt idx="4">
                  <c:v>0</c:v>
                </c:pt>
                <c:pt idx="5">
                  <c:v>1</c:v>
                </c:pt>
                <c:pt idx="6">
                  <c:v>1</c:v>
                </c:pt>
                <c:pt idx="7">
                  <c:v>1</c:v>
                </c:pt>
                <c:pt idx="8">
                  <c:v>0</c:v>
                </c:pt>
                <c:pt idx="9">
                  <c:v>16</c:v>
                </c:pt>
                <c:pt idx="10">
                  <c:v>17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 w="25378">
          <a:noFill/>
        </a:ln>
      </c:spPr>
    </c:plotArea>
    <c:plotVisOnly val="1"/>
    <c:dispBlanksAs val="gap"/>
    <c:showDLblsOverMax val="0"/>
  </c:chart>
  <c:spPr>
    <a:solidFill>
      <a:schemeClr val="bg1"/>
    </a:solidFill>
    <a:ln w="9510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197" b="1" i="0" u="none" strike="noStrike" kern="1200" cap="all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97"/>
              <a:t>все</a:t>
            </a:r>
            <a:r>
              <a:rPr lang="ru-RU" sz="1197" baseline="0"/>
              <a:t> центры с учетом строящихся и проектируемых</a:t>
            </a:r>
          </a:p>
        </c:rich>
      </c:tx>
      <c:overlay val="0"/>
      <c:spPr>
        <a:noFill/>
        <a:ln w="25367">
          <a:noFill/>
        </a:ln>
      </c:sp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1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2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3"/>
            <c:bubble3D val="0"/>
            <c:spPr>
              <a:solidFill>
                <a:schemeClr val="accent6">
                  <a:lumMod val="60000"/>
                </a:schemeClr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4"/>
            <c:bubble3D val="0"/>
            <c:spPr>
              <a:solidFill>
                <a:schemeClr val="accent5">
                  <a:lumMod val="60000"/>
                </a:schemeClr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5"/>
            <c:bubble3D val="0"/>
            <c:spPr>
              <a:solidFill>
                <a:schemeClr val="accent4">
                  <a:lumMod val="60000"/>
                </a:schemeClr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6"/>
            <c:bubble3D val="0"/>
            <c:spPr>
              <a:solidFill>
                <a:schemeClr val="accent6">
                  <a:lumMod val="80000"/>
                  <a:lumOff val="20000"/>
                </a:schemeClr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7"/>
            <c:bubble3D val="0"/>
            <c:spPr>
              <a:solidFill>
                <a:schemeClr val="accent5">
                  <a:lumMod val="80000"/>
                  <a:lumOff val="20000"/>
                </a:schemeClr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8"/>
            <c:bubble3D val="0"/>
            <c:spPr>
              <a:solidFill>
                <a:schemeClr val="accent4">
                  <a:lumMod val="80000"/>
                  <a:lumOff val="20000"/>
                </a:schemeClr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9"/>
            <c:bubble3D val="0"/>
            <c:spPr>
              <a:solidFill>
                <a:schemeClr val="accent6">
                  <a:lumMod val="80000"/>
                </a:schemeClr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10"/>
            <c:bubble3D val="0"/>
            <c:spPr>
              <a:solidFill>
                <a:schemeClr val="accent5">
                  <a:lumMod val="80000"/>
                </a:schemeClr>
              </a:solidFill>
              <a:ln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Lbls>
            <c:dLbl>
              <c:idx val="0"/>
              <c:layout>
                <c:manualLayout>
                  <c:x val="-1.4652011834672237E-2"/>
                  <c:y val="-7.673859752055796E-3"/>
                </c:manualLayout>
              </c:layout>
              <c:spPr>
                <a:noFill/>
                <a:ln w="25367">
                  <a:noFill/>
                </a:ln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98" b="1" i="0" u="none" strike="noStrike" kern="1200" spc="0" baseline="0">
                      <a:solidFill>
                        <a:schemeClr val="accent6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spPr>
                <a:noFill/>
                <a:ln w="25367">
                  <a:noFill/>
                </a:ln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98" b="1" i="0" u="none" strike="noStrike" kern="1200" spc="0" baseline="0">
                      <a:solidFill>
                        <a:schemeClr val="accent5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spPr>
                <a:noFill/>
                <a:ln w="25367">
                  <a:noFill/>
                </a:ln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98" b="1" i="0" u="none" strike="noStrike" kern="1200" spc="0" baseline="0">
                      <a:solidFill>
                        <a:schemeClr val="accent4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7.3260059173361185E-3"/>
                  <c:y val="-1.1510789628083598E-2"/>
                </c:manualLayout>
              </c:layout>
              <c:spPr>
                <a:noFill/>
                <a:ln w="25367">
                  <a:noFill/>
                </a:ln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98" b="1" i="0" u="none" strike="noStrike" kern="1200" spc="0" baseline="0">
                      <a:solidFill>
                        <a:schemeClr val="accent6">
                          <a:lumMod val="60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1.6939528128604178E-2"/>
                  <c:y val="1.0655562119038425E-2"/>
                </c:manualLayout>
              </c:layout>
              <c:spPr>
                <a:noFill/>
                <a:ln w="25367">
                  <a:noFill/>
                </a:ln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98" b="1" i="0" u="none" strike="noStrike" kern="1200" spc="0" baseline="0">
                      <a:solidFill>
                        <a:schemeClr val="accent5">
                          <a:lumMod val="60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spPr>
                <a:noFill/>
                <a:ln w="25367">
                  <a:noFill/>
                </a:ln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98" b="1" i="0" u="none" strike="noStrike" kern="1200" spc="0" baseline="0">
                      <a:solidFill>
                        <a:schemeClr val="accent4">
                          <a:lumMod val="60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2.9304029304029214E-2"/>
                  <c:y val="-1.3429940597409975E-2"/>
                </c:manualLayout>
              </c:layout>
              <c:spPr>
                <a:noFill/>
                <a:ln w="25367">
                  <a:noFill/>
                </a:ln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98" b="1" i="0" u="none" strike="noStrike" kern="1200" spc="0" baseline="0">
                      <a:solidFill>
                        <a:schemeClr val="accent6">
                          <a:lumMod val="80000"/>
                          <a:lumOff val="20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</c:extLst>
            </c:dLbl>
            <c:dLbl>
              <c:idx val="7"/>
              <c:layout>
                <c:manualLayout>
                  <c:x val="2.7396190860757702E-2"/>
                  <c:y val="7.7286818426284586E-3"/>
                </c:manualLayout>
              </c:layout>
              <c:spPr>
                <a:noFill/>
                <a:ln w="25367">
                  <a:noFill/>
                </a:ln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98" b="1" i="0" u="none" strike="noStrike" kern="1200" spc="0" baseline="0">
                      <a:solidFill>
                        <a:schemeClr val="accent5">
                          <a:lumMod val="80000"/>
                          <a:lumOff val="20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0"/>
                  <c:y val="3.0695439008222972E-2"/>
                </c:manualLayout>
              </c:layout>
              <c:spPr>
                <a:noFill/>
                <a:ln w="25367">
                  <a:noFill/>
                </a:ln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98" b="1" i="0" u="none" strike="noStrike" kern="1200" spc="0" baseline="0">
                      <a:solidFill>
                        <a:schemeClr val="accent4">
                          <a:lumMod val="80000"/>
                          <a:lumOff val="20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spPr>
                <a:noFill/>
                <a:ln w="25367">
                  <a:noFill/>
                </a:ln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98" b="1" i="0" u="none" strike="noStrike" kern="1200" spc="0" baseline="0">
                      <a:solidFill>
                        <a:schemeClr val="accent6">
                          <a:lumMod val="80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0"/>
              <c:spPr>
                <a:noFill/>
                <a:ln w="25367">
                  <a:noFill/>
                </a:ln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98" b="1" i="0" u="none" strike="noStrike" kern="1200" spc="0" baseline="0">
                      <a:solidFill>
                        <a:schemeClr val="accent5">
                          <a:lumMod val="80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1"/>
              <c:showSerName val="0"/>
              <c:showPercent val="0"/>
              <c:showBubbleSize val="0"/>
            </c:dLbl>
            <c:spPr>
              <a:noFill/>
              <a:ln w="25367">
                <a:noFill/>
              </a:ln>
            </c:spPr>
            <c:dLblPos val="outEnd"/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leaderLines>
              <c:spPr>
                <a:ln w="9508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Лист1!$A$62:$A$72</c:f>
              <c:strCache>
                <c:ptCount val="11"/>
                <c:pt idx="0">
                  <c:v>Канада</c:v>
                </c:pt>
                <c:pt idx="1">
                  <c:v>Китай</c:v>
                </c:pt>
                <c:pt idx="2">
                  <c:v>Япония</c:v>
                </c:pt>
                <c:pt idx="3">
                  <c:v>Индия</c:v>
                </c:pt>
                <c:pt idx="4">
                  <c:v>Тайвань</c:v>
                </c:pt>
                <c:pt idx="5">
                  <c:v>Россия</c:v>
                </c:pt>
                <c:pt idx="6">
                  <c:v>Южная Африка</c:v>
                </c:pt>
                <c:pt idx="7">
                  <c:v>Южная Корея</c:v>
                </c:pt>
                <c:pt idx="8">
                  <c:v>Саудовская Аравия</c:v>
                </c:pt>
                <c:pt idx="9">
                  <c:v>США</c:v>
                </c:pt>
                <c:pt idx="10">
                  <c:v>Европа</c:v>
                </c:pt>
              </c:strCache>
            </c:strRef>
          </c:cat>
          <c:val>
            <c:numRef>
              <c:f>Лист1!$I$62:$I$72</c:f>
              <c:numCache>
                <c:formatCode>General</c:formatCode>
                <c:ptCount val="11"/>
                <c:pt idx="0">
                  <c:v>1</c:v>
                </c:pt>
                <c:pt idx="1">
                  <c:v>7</c:v>
                </c:pt>
                <c:pt idx="2">
                  <c:v>17</c:v>
                </c:pt>
                <c:pt idx="3">
                  <c:v>1</c:v>
                </c:pt>
                <c:pt idx="4">
                  <c:v>1</c:v>
                </c:pt>
                <c:pt idx="5">
                  <c:v>4</c:v>
                </c:pt>
                <c:pt idx="6">
                  <c:v>1</c:v>
                </c:pt>
                <c:pt idx="7">
                  <c:v>2</c:v>
                </c:pt>
                <c:pt idx="8">
                  <c:v>1</c:v>
                </c:pt>
                <c:pt idx="9">
                  <c:v>33</c:v>
                </c:pt>
                <c:pt idx="10">
                  <c:v>31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 w="25367">
          <a:noFill/>
        </a:ln>
      </c:spPr>
    </c:plotArea>
    <c:plotVisOnly val="1"/>
    <c:dispBlanksAs val="gap"/>
    <c:showDLblsOverMax val="0"/>
  </c:chart>
  <c:spPr>
    <a:solidFill>
      <a:schemeClr val="bg1"/>
    </a:solidFill>
    <a:ln w="9508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Число пролеченных, всего</c:v>
          </c:tx>
          <c:spPr>
            <a:pattFill prst="narHorz">
              <a:fgClr>
                <a:schemeClr val="accent1"/>
              </a:fgClr>
              <a:bgClr>
                <a:schemeClr val="accent1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1"/>
              </a:innerShdw>
            </a:effectLst>
          </c:spPr>
          <c:invertIfNegative val="0"/>
          <c:dLbls>
            <c:spPr>
              <a:noFill/>
              <a:ln w="25377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99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Base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Лист1!$A$120:$A$126</c:f>
              <c:numCache>
                <c:formatCode>General</c:formatCode>
                <c:ptCount val="7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  <c:pt idx="6">
                  <c:v>2014</c:v>
                </c:pt>
              </c:numCache>
            </c:numRef>
          </c:cat>
          <c:val>
            <c:numRef>
              <c:f>Лист1!$B$120:$B$126</c:f>
              <c:numCache>
                <c:formatCode>General</c:formatCode>
                <c:ptCount val="7"/>
                <c:pt idx="0">
                  <c:v>61122</c:v>
                </c:pt>
                <c:pt idx="1">
                  <c:v>67097</c:v>
                </c:pt>
                <c:pt idx="2">
                  <c:v>73804</c:v>
                </c:pt>
                <c:pt idx="3">
                  <c:v>83667</c:v>
                </c:pt>
                <c:pt idx="4">
                  <c:v>93452</c:v>
                </c:pt>
                <c:pt idx="5">
                  <c:v>105743</c:v>
                </c:pt>
                <c:pt idx="6">
                  <c:v>119318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35325056"/>
        <c:axId val="635371904"/>
      </c:barChart>
      <c:lineChart>
        <c:grouping val="stacked"/>
        <c:varyColors val="0"/>
        <c:ser>
          <c:idx val="1"/>
          <c:order val="1"/>
          <c:tx>
            <c:v>Число пролеченных за год</c:v>
          </c:tx>
          <c:spPr>
            <a:ln w="28543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4"/>
            <c:spPr>
              <a:solidFill>
                <a:srgbClr val="ED7D31"/>
              </a:solidFill>
              <a:ln w="6344">
                <a:noFill/>
              </a:ln>
            </c:spPr>
          </c:marker>
          <c:dLbls>
            <c:dLbl>
              <c:idx val="0"/>
              <c:layout>
                <c:manualLayout>
                  <c:x val="-1.6666666666666642E-2"/>
                  <c:y val="-2.77777777777777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2.393776181926946E-3"/>
                  <c:y val="-4.42941760658296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777722802602996E-3"/>
                  <c:y val="-0.1031031425125913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00000000000001E-2"/>
                  <c:y val="-3.70370370370370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0000000000001E-2"/>
                  <c:y val="-7.87037037037036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5555555555555552E-2"/>
                  <c:y val="-5.55555555555556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3.888888888888889E-2"/>
                  <c:y val="-6.01851851851851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25377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99" b="0" i="0" u="none" strike="noStrike" kern="1200" baseline="0">
                    <a:solidFill>
                      <a:srgbClr val="FF66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Лист1!$A$120:$A$126</c:f>
              <c:numCache>
                <c:formatCode>General</c:formatCode>
                <c:ptCount val="7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  <c:pt idx="6">
                  <c:v>2014</c:v>
                </c:pt>
              </c:numCache>
            </c:numRef>
          </c:cat>
          <c:val>
            <c:numRef>
              <c:f>Лист1!$C$120:$C$126</c:f>
              <c:numCache>
                <c:formatCode>General</c:formatCode>
                <c:ptCount val="7"/>
                <c:pt idx="0">
                  <c:v>7304</c:v>
                </c:pt>
                <c:pt idx="1">
                  <c:v>5975</c:v>
                </c:pt>
                <c:pt idx="2">
                  <c:v>6707</c:v>
                </c:pt>
                <c:pt idx="3">
                  <c:v>9863</c:v>
                </c:pt>
                <c:pt idx="4">
                  <c:v>9785</c:v>
                </c:pt>
                <c:pt idx="5">
                  <c:v>12291</c:v>
                </c:pt>
                <c:pt idx="6">
                  <c:v>13575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35373440"/>
        <c:axId val="635374976"/>
      </c:lineChart>
      <c:catAx>
        <c:axId val="6353250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29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99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35371904"/>
        <c:crosses val="autoZero"/>
        <c:auto val="1"/>
        <c:lblAlgn val="ctr"/>
        <c:lblOffset val="100"/>
        <c:noMultiLvlLbl val="0"/>
      </c:catAx>
      <c:valAx>
        <c:axId val="635371904"/>
        <c:scaling>
          <c:orientation val="minMax"/>
        </c:scaling>
        <c:delete val="0"/>
        <c:axPos val="l"/>
        <c:majorGridlines>
          <c:spPr>
            <a:ln>
              <a:solidFill>
                <a:schemeClr val="tx1">
                  <a:lumMod val="15000"/>
                  <a:lumOff val="85000"/>
                </a:schemeClr>
              </a:solidFill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ln w="6344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899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35325056"/>
        <c:crosses val="autoZero"/>
        <c:crossBetween val="between"/>
      </c:valAx>
      <c:catAx>
        <c:axId val="63537344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635374976"/>
        <c:crosses val="autoZero"/>
        <c:auto val="1"/>
        <c:lblAlgn val="ctr"/>
        <c:lblOffset val="100"/>
        <c:noMultiLvlLbl val="0"/>
      </c:catAx>
      <c:valAx>
        <c:axId val="635374976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spPr>
          <a:ln w="6344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899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35373440"/>
        <c:crosses val="max"/>
        <c:crossBetween val="between"/>
      </c:valAx>
      <c:spPr>
        <a:noFill/>
        <a:ln w="25377">
          <a:noFill/>
        </a:ln>
      </c:spPr>
    </c:plotArea>
    <c:legend>
      <c:legendPos val="b"/>
      <c:overlay val="0"/>
      <c:spPr>
        <a:noFill/>
        <a:ln w="25377">
          <a:noFill/>
        </a:ln>
      </c:spPr>
      <c:txPr>
        <a:bodyPr rot="0" spcFirstLastPara="1" vertOverflow="ellipsis" vert="horz" wrap="square" anchor="ctr" anchorCtr="1"/>
        <a:lstStyle/>
        <a:p>
          <a:pPr>
            <a:defRPr sz="899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1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2300</Words>
  <Characters>13115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Сидорова Н.П.</dc:creator>
  <cp:lastModifiedBy>Сидорова Н.П.</cp:lastModifiedBy>
  <cp:revision>4</cp:revision>
  <dcterms:created xsi:type="dcterms:W3CDTF">2016-09-24T07:57:00Z</dcterms:created>
  <dcterms:modified xsi:type="dcterms:W3CDTF">2016-09-24T13:24:00Z</dcterms:modified>
</cp:coreProperties>
</file>